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form424b3.htm"/>
      <w:bookmarkStart w:id="1" w:name="ksform424b3"/>
      <w:bookmarkEnd w:id="0"/>
      <w:bookmarkEnd w:id="1"/>
      <w:r>
        <w:rPr>
          <w:caps w:val="false"/>
          <w:smallCaps w:val="false"/>
        </w:rPr>
        <w:t> </w:t>
      </w:r>
    </w:p>
    <w:p>
      <w:pPr>
        <w:pStyle w:val="TextBody"/>
        <w:bidi w:val="0"/>
        <w:ind w:left="0" w:right="0" w:firstLine="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 and Rule 424(c)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333-298645</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22,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2</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6670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3429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MOBIX LABS, INC.</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Up to 5,000,000 SHARES OF CLASS A COMMON STOCK</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amends the prospectus dated September 3, 2026 (as supplemented to date, the “Prospectus”) of Mobix Labs, Inc. a Delaware corporation (the “Company”), which forms a part of the Company’s Registration Statement on Form S-1, as amended (No. 333-298645). This prospectus supplement is being filed to update and supplement the information included or incorporated by reference in the Prospectus with the information contained in the Current Report on Form 8-K filed with the Securities and Exchange Commission (the “SEC”) on October 19, 2026, as set forth below. This prospectus supplement should be read in conjunction with the Prospectus, which is to be delivered with this prospectus supplement.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Class A Common Stock are listed on the Nasdaq Stock Market LLC (“Nasdaq”) under the symbol “MOBX”. On October 21, 2026, the closing price of our Class A Common Stock was $0.72.</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 Company’s Class A Common Stock involves risks. See “Risk Factors” beginning on page 5 of the Prospectus and under similar headings in any amendments or supplements to the Prospectus.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other regulatory body has approved or disapproved of these securities or passed upon the adequacy or accuracy of this prospectus. Any representation to the contrary is a criminal offense.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No. 2 is October 22, 2026</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October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MOBIX LABS,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001-40621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98-1591717</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California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92618</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(949) 808-8888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Mobix Labs, Inc. (the “Company”) delivered written notice to Vision Aerial, Inc. (“Vision Aerial”) terminating the Agreement and Plan of Merger, dated July 24, 2026 (the “Merger Agreement”), pursuant to Section 8.1(c) thereof, following the expiration of the contractual termination date. The Merger Agreement was previously disclosed in the Company’s Current Report on Form 8-K filed on July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followed delays in completing certain due diligence and financial reporting matters, including the receipt of financial and accounting information necessary to complete the audit process. The transaction was not consummated within the contemplated timeframe.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was amicable, and the Company maintains a positive relationship with Vision Aerial and remains open to exploring potential opportunities with Vision Aerial in the future.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25" w:type="dxa"/>
        <w:jc w:val="left"/>
        <w:tblInd w:w="0" w:type="dxa"/>
        <w:shd w:fill="FFFFFF" w:val="clear"/>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2030"/>
        <w:gridCol w:w="303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19, 2026</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778</Words>
  <Characters>4298</Characters>
  <CharactersWithSpaces>5081</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