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October 30, 2026</w:t>
      </w:r>
    </w:p>
    <w:p>
      <w:pPr>
        <w:spacing w:after="0" w:line="183" w:lineRule="exact"/>
        <w:rPr>
          <w:sz w:val="24"/>
          <w:szCs w:val="24"/>
          <w:color w:val="auto"/>
        </w:rPr>
      </w:pPr>
    </w:p>
    <w:p>
      <w:pPr>
        <w:ind w:left="944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71602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174625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MOBIX LABS,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Exact name of registrant as specified in its charter</w:t>
      </w:r>
      <w:r>
        <w:rPr>
          <w:rFonts w:ascii="Times New Roman" w:cs="Times New Roman" w:eastAsia="Times New Roman" w:hAnsi="Times New Roman"/>
          <w:sz w:val="14"/>
          <w:szCs w:val="14"/>
          <w:color w:val="auto"/>
        </w:rPr>
        <w:t>)</w:t>
      </w:r>
    </w:p>
    <w:p>
      <w:pPr>
        <w:spacing w:after="0" w:line="165" w:lineRule="exact"/>
        <w:rPr>
          <w:sz w:val="24"/>
          <w:szCs w:val="24"/>
          <w:color w:val="auto"/>
        </w:rPr>
      </w:pPr>
    </w:p>
    <w:tbl>
      <w:tblPr>
        <w:tblLayout w:type="fixed"/>
        <w:tblInd w:w="920" w:type="dxa"/>
        <w:tblCellMar>
          <w:top w:w="0" w:type="dxa"/>
          <w:left w:w="0" w:type="dxa"/>
          <w:bottom w:w="0" w:type="dxa"/>
          <w:right w:w="0" w:type="dxa"/>
        </w:tblCellMar>
      </w:tblPr>
      <w:tr>
        <w:trPr>
          <w:trHeight w:val="172"/>
        </w:trPr>
        <w:tc>
          <w:tcPr>
            <w:tcW w:w="2840" w:type="dxa"/>
            <w:vAlign w:val="bottom"/>
          </w:tcPr>
          <w:p>
            <w:pPr>
              <w:jc w:val="center"/>
              <w:ind w:right="9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9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3674</w:t>
            </w:r>
          </w:p>
        </w:tc>
        <w:tc>
          <w:tcPr>
            <w:tcW w:w="2480" w:type="dxa"/>
            <w:vAlign w:val="bottom"/>
          </w:tcPr>
          <w:p>
            <w:pPr>
              <w:jc w:val="center"/>
              <w:ind w:left="1088"/>
              <w:spacing w:after="0"/>
              <w:rPr>
                <w:sz w:val="20"/>
                <w:szCs w:val="20"/>
                <w:color w:val="auto"/>
              </w:rPr>
            </w:pPr>
            <w:r>
              <w:rPr>
                <w:rFonts w:ascii="Times New Roman" w:cs="Times New Roman" w:eastAsia="Times New Roman" w:hAnsi="Times New Roman"/>
                <w:sz w:val="14"/>
                <w:szCs w:val="14"/>
                <w:b w:val="1"/>
                <w:bCs w:val="1"/>
                <w:color w:val="auto"/>
              </w:rPr>
              <w:t>98-1591717</w:t>
            </w:r>
          </w:p>
        </w:tc>
      </w:tr>
      <w:tr>
        <w:trPr>
          <w:trHeight w:val="172"/>
        </w:trPr>
        <w:tc>
          <w:tcPr>
            <w:tcW w:w="2840" w:type="dxa"/>
            <w:vAlign w:val="bottom"/>
          </w:tcPr>
          <w:p>
            <w:pPr>
              <w:jc w:val="center"/>
              <w:ind w:right="968"/>
              <w:spacing w:after="0"/>
              <w:rPr>
                <w:sz w:val="20"/>
                <w:szCs w:val="20"/>
                <w:color w:val="auto"/>
              </w:rPr>
            </w:pPr>
            <w:r>
              <w:rPr>
                <w:rFonts w:ascii="Times New Roman" w:cs="Times New Roman" w:eastAsia="Times New Roman" w:hAnsi="Times New Roman"/>
                <w:sz w:val="14"/>
                <w:szCs w:val="14"/>
                <w:i w:val="1"/>
                <w:iCs w:val="1"/>
                <w:color w:val="auto"/>
              </w:rPr>
              <w:t>(State or other jurisdiction of</w:t>
            </w:r>
          </w:p>
        </w:tc>
        <w:tc>
          <w:tcPr>
            <w:tcW w:w="3900" w:type="dxa"/>
            <w:vAlign w:val="bottom"/>
          </w:tcPr>
          <w:p>
            <w:pPr>
              <w:jc w:val="center"/>
              <w:ind w:right="28"/>
              <w:spacing w:after="0"/>
              <w:rPr>
                <w:sz w:val="20"/>
                <w:szCs w:val="20"/>
                <w:color w:val="auto"/>
              </w:rPr>
            </w:pPr>
            <w:r>
              <w:rPr>
                <w:rFonts w:ascii="Times New Roman" w:cs="Times New Roman" w:eastAsia="Times New Roman" w:hAnsi="Times New Roman"/>
                <w:sz w:val="14"/>
                <w:szCs w:val="14"/>
                <w:i w:val="1"/>
                <w:iCs w:val="1"/>
                <w:color w:val="auto"/>
              </w:rPr>
              <w:t>(Primary Standard Industrial</w:t>
            </w:r>
          </w:p>
        </w:tc>
        <w:tc>
          <w:tcPr>
            <w:tcW w:w="2480" w:type="dxa"/>
            <w:vAlign w:val="bottom"/>
          </w:tcPr>
          <w:p>
            <w:pPr>
              <w:jc w:val="center"/>
              <w:ind w:left="1088"/>
              <w:spacing w:after="0"/>
              <w:rPr>
                <w:sz w:val="20"/>
                <w:szCs w:val="20"/>
                <w:color w:val="auto"/>
              </w:rPr>
            </w:pPr>
            <w:r>
              <w:rPr>
                <w:rFonts w:ascii="Times New Roman" w:cs="Times New Roman" w:eastAsia="Times New Roman" w:hAnsi="Times New Roman"/>
                <w:sz w:val="14"/>
                <w:szCs w:val="14"/>
                <w:i w:val="1"/>
                <w:iCs w:val="1"/>
                <w:color w:val="auto"/>
              </w:rPr>
              <w:t>(IRS Employer</w:t>
            </w:r>
          </w:p>
        </w:tc>
      </w:tr>
      <w:tr>
        <w:trPr>
          <w:trHeight w:val="188"/>
        </w:trPr>
        <w:tc>
          <w:tcPr>
            <w:tcW w:w="2840" w:type="dxa"/>
            <w:vAlign w:val="bottom"/>
          </w:tcPr>
          <w:p>
            <w:pPr>
              <w:jc w:val="center"/>
              <w:ind w:right="988"/>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3900" w:type="dxa"/>
            <w:vAlign w:val="bottom"/>
          </w:tcPr>
          <w:p>
            <w:pPr>
              <w:jc w:val="center"/>
              <w:ind w:right="28"/>
              <w:spacing w:after="0"/>
              <w:rPr>
                <w:sz w:val="20"/>
                <w:szCs w:val="20"/>
                <w:color w:val="auto"/>
              </w:rPr>
            </w:pPr>
            <w:r>
              <w:rPr>
                <w:rFonts w:ascii="Times New Roman" w:cs="Times New Roman" w:eastAsia="Times New Roman" w:hAnsi="Times New Roman"/>
                <w:sz w:val="14"/>
                <w:szCs w:val="14"/>
                <w:i w:val="1"/>
                <w:iCs w:val="1"/>
                <w:color w:val="auto"/>
              </w:rPr>
              <w:t>Classification Code Number)</w:t>
            </w:r>
          </w:p>
        </w:tc>
        <w:tc>
          <w:tcPr>
            <w:tcW w:w="2480" w:type="dxa"/>
            <w:vAlign w:val="bottom"/>
          </w:tcPr>
          <w:p>
            <w:pPr>
              <w:jc w:val="center"/>
              <w:ind w:left="1088"/>
              <w:spacing w:after="0"/>
              <w:rPr>
                <w:sz w:val="20"/>
                <w:szCs w:val="20"/>
                <w:color w:val="auto"/>
              </w:rPr>
            </w:pPr>
            <w:r>
              <w:rPr>
                <w:rFonts w:ascii="Times New Roman" w:cs="Times New Roman" w:eastAsia="Times New Roman" w:hAnsi="Times New Roman"/>
                <w:sz w:val="14"/>
                <w:szCs w:val="14"/>
                <w:i w:val="1"/>
                <w:iCs w:val="1"/>
                <w:color w:val="auto"/>
              </w:rPr>
              <w:t>Identification Number)</w:t>
            </w:r>
          </w:p>
        </w:tc>
      </w:tr>
    </w:tbl>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 Venture, Suite 220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Irvine, California 92618</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(949) 808-8888</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Address, including zip code, and telephone number, including area code, of registrant’s principal executive offices</w:t>
      </w:r>
      <w:r>
        <w:rPr>
          <w:rFonts w:ascii="Times New Roman" w:cs="Times New Roman" w:eastAsia="Times New Roman" w:hAnsi="Times New Roman"/>
          <w:sz w:val="14"/>
          <w:szCs w:val="14"/>
          <w:color w:val="auto"/>
        </w:rPr>
        <w:t>)</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Keyvan Samini</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President and Chief Financial Officer</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 Venture, Suite 220</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Irvine, California 92618</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(949) 808-8888</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Address, including zip code, and telephone number, including area code, of agent for service</w:t>
      </w:r>
      <w:r>
        <w:rPr>
          <w:rFonts w:ascii="Times New Roman" w:cs="Times New Roman" w:eastAsia="Times New Roman" w:hAnsi="Times New Roman"/>
          <w:sz w:val="14"/>
          <w:szCs w:val="14"/>
          <w:color w:val="auto"/>
        </w:rPr>
        <w: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Raymond Lee, Esq.</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Laurie L. Green, Esq.</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Greenberg Traurig, LLP</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18565 Jamboree Road</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Suite 500</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Irvine, CA 92612</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(949) 732-6510</w:t>
      </w:r>
    </w:p>
    <w:p>
      <w:pPr>
        <w:spacing w:after="0" w:line="168"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From time to time after this registration statement becomes effective.</w:t>
      </w:r>
    </w:p>
    <w:p>
      <w:pPr>
        <w:spacing w:after="0" w:line="154" w:lineRule="exact"/>
        <w:rPr>
          <w:sz w:val="24"/>
          <w:szCs w:val="24"/>
          <w:color w:val="auto"/>
        </w:rPr>
      </w:pPr>
    </w:p>
    <w:p>
      <w:pPr>
        <w:ind w:left="26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15" w:lineRule="exact"/>
        <w:rPr>
          <w:sz w:val="24"/>
          <w:szCs w:val="24"/>
          <w:color w:val="auto"/>
        </w:rPr>
      </w:pPr>
    </w:p>
    <w:p>
      <w:pPr>
        <w:ind w:firstLine="258"/>
        <w:spacing w:after="0" w:line="191"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5" w:lineRule="exact"/>
        <w:rPr>
          <w:sz w:val="24"/>
          <w:szCs w:val="24"/>
          <w:color w:val="auto"/>
        </w:rPr>
      </w:pPr>
    </w:p>
    <w:p>
      <w:pPr>
        <w:ind w:firstLine="258"/>
        <w:spacing w:after="0" w:line="19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5" w:lineRule="exact"/>
        <w:rPr>
          <w:sz w:val="24"/>
          <w:szCs w:val="24"/>
          <w:color w:val="auto"/>
        </w:rPr>
      </w:pPr>
    </w:p>
    <w:p>
      <w:pPr>
        <w:ind w:firstLine="258"/>
        <w:spacing w:after="0" w:line="19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5" w:lineRule="exact"/>
        <w:rPr>
          <w:sz w:val="24"/>
          <w:szCs w:val="24"/>
          <w:color w:val="auto"/>
        </w:rPr>
      </w:pPr>
    </w:p>
    <w:p>
      <w:pPr>
        <w:ind w:firstLine="258"/>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381" w:right="319" w:bottom="1440" w:gutter="0" w:footer="0" w:header="0"/>
        </w:sectPr>
      </w:pPr>
    </w:p>
    <w:p>
      <w:pPr>
        <w:spacing w:after="0" w:line="9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5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67" w:lineRule="exact"/>
        <w:rPr>
          <w:sz w:val="24"/>
          <w:szCs w:val="24"/>
          <w:color w:val="auto"/>
        </w:rPr>
      </w:pPr>
    </w:p>
    <w:p>
      <w:pPr>
        <w:sectPr>
          <w:pgSz w:w="11900" w:h="16838" w:orient="portrait"/>
          <w:cols w:equalWidth="0" w:num="4">
            <w:col w:w="2100" w:space="720"/>
            <w:col w:w="2100" w:space="720"/>
            <w:col w:w="2100" w:space="720"/>
            <w:col w:w="2820"/>
          </w:cols>
          <w:pgMar w:left="300" w:top="381" w:right="319" w:bottom="1440" w:gutter="0" w:footer="0" w:header="0"/>
          <w:type w:val="continuous"/>
        </w:sectPr>
      </w:pPr>
    </w:p>
    <w:p>
      <w:pPr>
        <w:jc w:val="both"/>
        <w:ind w:firstLine="258"/>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33" w:lineRule="exact"/>
        <w:rPr>
          <w:sz w:val="24"/>
          <w:szCs w:val="24"/>
          <w:color w:val="auto"/>
        </w:rPr>
      </w:pPr>
    </w:p>
    <w:p>
      <w:pPr>
        <w:jc w:val="both"/>
        <w:ind w:firstLine="258"/>
        <w:spacing w:after="0" w:line="27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95250</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108585</wp:posOffset>
            </wp:positionV>
            <wp:extent cx="716026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368300</wp:posOffset>
            </wp:positionV>
            <wp:extent cx="71602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381"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FF0000"/>
        </w:rPr>
        <w:t>SUBJECT TO COMPLETION, DATED OCTOBER 30, 2026</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FF0000"/>
        </w:rPr>
        <w:t>The information in this prospectus is not complete and may be changed. These securities may not be sold until the registration statement filed with the SEC is effective. This prospectus is not an offer to sell these securities and is not soliciting an offer to buy these securities in any jurisdiction where the offer or sale is not permitted.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127000</wp:posOffset>
            </wp:positionV>
            <wp:extent cx="2391410" cy="307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1410" cy="30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6,000,000 SHARES OF CLASS A COMMON STOCK</w:t>
      </w:r>
    </w:p>
    <w:p>
      <w:pPr>
        <w:spacing w:after="0" w:line="18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This prospectus relates to the registration of the resale or other distribution by the selling stockholder named herein (the “Selling Stockholder”) of up to 6,000,000 shares of Class A Common Stock of Mobix Labs, Inc., par value $0.00001 per share (the “Class A Common Stock”), issuable to an investor upon the conversion of (i) 241 shares of Series A 10% Convertible Preferred Stock and (ii) 9,800 shares of Series A 10% Convertible Preferred Stock issuable upon the exercise of Preferred Stock Purchase Warrants (the “Preferred Warrants”). The 241 shares of Series A 10% Convertible Preferred Stock issued and the 9,800 shares of Series A 10% Convertible Preferred Stock underlying the Preferred Warrants, including any future shares issued as a dividend on the Series A 10% Convertible Preferred Stock, are hereinafter referred to as the “Preferred Shares”.</w:t>
      </w:r>
    </w:p>
    <w:p>
      <w:pPr>
        <w:spacing w:after="0" w:line="144"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shares of Class A Common Stock that may be sold by the Selling Stockholder are collectively referred to in this prospectus as the “Offered Securities.” Our registration of the resale of the Offered Securities does not mean that the Selling Stockholder will offer or sell any of the Offered Securities.</w:t>
      </w:r>
    </w:p>
    <w:p>
      <w:pPr>
        <w:spacing w:after="0" w:line="12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will not receive any of the proceeds from the sale by the Selling Stockholder of any of the Offered Securities. We may receive up to $9,800,000 to the extent the Preferred Warrants are exercised. We intend to use any proceeds from the exercise of the Preferred Warrants for working capital and general corporate purposes. We will bear all costs, expenses and fees in connection with the registration of the resale of the Offered Securities. The Selling Stockholder will bear all commissions and discounts, if any, attributable to their respective sales of the Offered Securities.</w:t>
      </w:r>
    </w:p>
    <w:p>
      <w:pPr>
        <w:spacing w:after="0" w:line="135"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The Offered Securities offered for resale in this prospectus represent a substantial percentage of the total outstanding shares of our Class A Common Stock as of October 14, 2026. Assuming the issuance of all of the Offered Securities being registered for resale pursuant to this prospectus to the Selling Stockholder, the Offered Securities would represent approximately 20.3% of the outstanding Class A Common Stock as of October 14, 2026. The resale of the Offered Securities, or the perception that these sales could occur, pursuant to this prospectus, could result in a significant decline in the public trading price of our Class A Common Stock. In addition to the Selling Stockholder, certain other stockholders may resell a substantial number of our securities pursuant to separate resale prospectuses. The sale of the shares offered hereby together with the sale of these additional securities, or the perception that these sales could occur, could depress the market price of our securities.</w:t>
      </w:r>
    </w:p>
    <w:p>
      <w:pPr>
        <w:spacing w:after="0" w:line="14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Selling Stockholder may offer and sell the securities covered by this prospectus in a number of different ways and at varying prices. We provide more information about how the Selling Stockholder may sell the securities in the section titled “Plan of Distribution.”</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Sales of a substantial number of shares of Class A Common Stock in the public markets, including by the Selling Stockholder, who obtained their shares at prices or values below the current market price, or the perception in the market that such sales could occur, could result in a significant decline in the public trading price of the Class A Common Stock.</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You should carefully read this prospectus, and any applicable prospectus supplement, before you invest in any of our securities.</w:t>
      </w:r>
    </w:p>
    <w:p>
      <w:pPr>
        <w:spacing w:after="0" w:line="18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shares of Class A Common Stock are listed on Nasdaq Stock Market LLC (“Nasdaq”) and our public warrants (the “Public Warrants”) are listed on Nasdaq under the symbols “MOBX” and “MOBXW,” respectively. On October 29, 2026, the last closing price of the Class A Common Stock as reported on Nasdaq was $0.75 per share.</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We are a “smaller reporting company” as defined under the federal securities laws and, as such, have elected to comply with certain reduced public company reporting requirements for this prospectus and may elect to do so in future filings. See “Implications of Being a Smaller Reporting Company.”</w:t>
      </w:r>
    </w:p>
    <w:p>
      <w:pPr>
        <w:spacing w:after="0" w:line="12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4"/>
          <w:szCs w:val="14"/>
          <w:b w:val="1"/>
          <w:bCs w:val="1"/>
          <w:color w:val="auto"/>
        </w:rPr>
        <w:t>Investing in our securities involves risks. You should carefully read and consider the risk factors included in our periodic reports filed with the Securities and Exchange Commission (the “SEC”), in any applicable prospectus supplement relating to a specific offering of securities and in any other documents we file with the SEC. See the section entitled “Risk Factors” on page 4 of this prospectus, in our other filings with the SEC and in the applicable prospectus supplement.</w:t>
      </w:r>
    </w:p>
    <w:p>
      <w:pPr>
        <w:spacing w:after="0" w:line="133" w:lineRule="exact"/>
        <w:rPr>
          <w:sz w:val="20"/>
          <w:szCs w:val="20"/>
          <w:color w:val="auto"/>
        </w:rPr>
      </w:pPr>
    </w:p>
    <w:p>
      <w:pPr>
        <w:jc w:val="both"/>
        <w:ind w:firstLine="517"/>
        <w:spacing w:after="0" w:line="296"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determined if this prospectus or any prospectus supplement is truthful or complete. Any representation to the contrary is a criminal offense.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40" w:type="dxa"/>
            <w:vAlign w:val="bottom"/>
          </w:tcPr>
          <w:p>
            <w:pPr>
              <w:ind w:left="4140"/>
              <w:spacing w:after="0"/>
              <w:rPr>
                <w:sz w:val="20"/>
                <w:szCs w:val="20"/>
                <w:color w:val="auto"/>
              </w:rPr>
            </w:pPr>
            <w:r>
              <w:rPr>
                <w:rFonts w:ascii="Times New Roman" w:cs="Times New Roman" w:eastAsia="Times New Roman" w:hAnsi="Times New Roman"/>
                <w:sz w:val="14"/>
                <w:szCs w:val="14"/>
                <w:b w:val="1"/>
                <w:bCs w:val="1"/>
                <w:color w:val="auto"/>
              </w:rPr>
              <w:t>The date of this prospectus is</w:t>
            </w:r>
          </w:p>
        </w:tc>
        <w:tc>
          <w:tcPr>
            <w:tcW w:w="4940" w:type="dxa"/>
            <w:vAlign w:val="bottom"/>
          </w:tcPr>
          <w:p>
            <w:pPr>
              <w:jc w:val="right"/>
              <w:ind w:right="4068"/>
              <w:spacing w:after="0"/>
              <w:rPr>
                <w:sz w:val="20"/>
                <w:szCs w:val="20"/>
                <w:color w:val="auto"/>
              </w:rPr>
            </w:pPr>
            <w:r>
              <w:rPr>
                <w:rFonts w:ascii="Times New Roman" w:cs="Times New Roman" w:eastAsia="Times New Roman" w:hAnsi="Times New Roman"/>
                <w:sz w:val="14"/>
                <w:szCs w:val="14"/>
                <w:b w:val="1"/>
                <w:bCs w:val="1"/>
                <w:color w:val="auto"/>
              </w:rPr>
              <w:t>, 2026.</w:t>
            </w:r>
          </w:p>
        </w:tc>
      </w:tr>
      <w:tr>
        <w:trPr>
          <w:trHeight w:val="345"/>
        </w:trPr>
        <w:tc>
          <w:tcPr>
            <w:tcW w:w="63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3" w:right="3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9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9560" w:type="dxa"/>
            <w:vAlign w:val="bottom"/>
            <w:gridSpan w:val="20"/>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0000EE"/>
              </w:rPr>
              <w:t>ABOUT THIS PROSPECTUS</w:t>
            </w:r>
          </w:p>
        </w:tc>
        <w:tc>
          <w:tcPr>
            <w:tcW w:w="1700" w:type="dxa"/>
            <w:vAlign w:val="bottom"/>
            <w:shd w:val="clear" w:color="auto" w:fill="CCEEFF"/>
          </w:tcPr>
          <w:p>
            <w:pPr>
              <w:jc w:val="center"/>
              <w:ind w:left="1108"/>
              <w:spacing w:after="0" w:line="140" w:lineRule="exact"/>
              <w:rPr>
                <w:sz w:val="20"/>
                <w:szCs w:val="20"/>
                <w:color w:val="auto"/>
              </w:rPr>
            </w:pPr>
            <w:r>
              <w:rPr>
                <w:rFonts w:ascii="Times New Roman" w:cs="Times New Roman" w:eastAsia="Times New Roman" w:hAnsi="Times New Roman"/>
                <w:sz w:val="14"/>
                <w:szCs w:val="14"/>
                <w:color w:val="auto"/>
              </w:rPr>
              <w:t>i</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100" w:type="dxa"/>
            <w:vAlign w:val="bottom"/>
            <w:tcBorders>
              <w:bottom w:val="single" w:sz="8" w:color="0000EE"/>
            </w:tcBorders>
            <w:gridSpan w:val="15"/>
          </w:tcPr>
          <w:p>
            <w:pPr>
              <w:spacing w:after="0" w:line="140" w:lineRule="exact"/>
              <w:rPr>
                <w:sz w:val="20"/>
                <w:szCs w:val="20"/>
                <w:color w:val="auto"/>
              </w:rPr>
            </w:pPr>
            <w:r>
              <w:rPr>
                <w:rFonts w:ascii="Times New Roman" w:cs="Times New Roman" w:eastAsia="Times New Roman" w:hAnsi="Times New Roman"/>
                <w:sz w:val="14"/>
                <w:szCs w:val="14"/>
                <w:color w:val="0000EE"/>
              </w:rPr>
              <w:t>IMPLICATIONS OF BEING A SMALLER REPORTING COMPANY</w:t>
            </w:r>
          </w:p>
        </w:tc>
        <w:tc>
          <w:tcPr>
            <w:tcW w:w="5460" w:type="dxa"/>
            <w:vAlign w:val="bottom"/>
            <w:gridSpan w:val="5"/>
          </w:tcPr>
          <w:p>
            <w:pPr>
              <w:spacing w:after="0"/>
              <w:rPr>
                <w:sz w:val="12"/>
                <w:szCs w:val="12"/>
                <w:color w:val="auto"/>
              </w:rPr>
            </w:pPr>
          </w:p>
        </w:tc>
        <w:tc>
          <w:tcPr>
            <w:tcW w:w="1700" w:type="dxa"/>
            <w:vAlign w:val="bottom"/>
          </w:tcPr>
          <w:p>
            <w:pPr>
              <w:jc w:val="center"/>
              <w:ind w:left="1108"/>
              <w:spacing w:after="0" w:line="140" w:lineRule="exact"/>
              <w:rPr>
                <w:sz w:val="20"/>
                <w:szCs w:val="20"/>
                <w:color w:val="auto"/>
              </w:rPr>
            </w:pPr>
            <w:r>
              <w:rPr>
                <w:rFonts w:ascii="Times New Roman" w:cs="Times New Roman" w:eastAsia="Times New Roman" w:hAnsi="Times New Roman"/>
                <w:sz w:val="14"/>
                <w:szCs w:val="14"/>
                <w:color w:val="auto"/>
              </w:rPr>
              <w:t>ii</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560" w:type="dxa"/>
            <w:vAlign w:val="bottom"/>
            <w:gridSpan w:val="20"/>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RISK FACTORS SUMMARY</w:t>
            </w:r>
          </w:p>
        </w:tc>
        <w:tc>
          <w:tcPr>
            <w:tcW w:w="1700" w:type="dxa"/>
            <w:vAlign w:val="bottom"/>
            <w:shd w:val="clear" w:color="auto" w:fill="CCEEFF"/>
          </w:tcPr>
          <w:p>
            <w:pPr>
              <w:jc w:val="center"/>
              <w:ind w:left="1108"/>
              <w:spacing w:after="0" w:line="152" w:lineRule="exact"/>
              <w:rPr>
                <w:sz w:val="20"/>
                <w:szCs w:val="20"/>
                <w:color w:val="auto"/>
              </w:rPr>
            </w:pPr>
            <w:r>
              <w:rPr>
                <w:rFonts w:ascii="Times New Roman" w:cs="Times New Roman" w:eastAsia="Times New Roman" w:hAnsi="Times New Roman"/>
                <w:sz w:val="14"/>
                <w:szCs w:val="14"/>
                <w:color w:val="auto"/>
              </w:rPr>
              <w:t>iii</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CCEEFF"/>
            </w:tcBorders>
            <w:shd w:val="clear" w:color="auto" w:fill="0000EE"/>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000" w:type="dxa"/>
            <w:vAlign w:val="bottom"/>
            <w:tcBorders>
              <w:bottom w:val="single" w:sz="8" w:color="0000EE"/>
            </w:tcBorders>
            <w:gridSpan w:val="11"/>
          </w:tcPr>
          <w:p>
            <w:pPr>
              <w:spacing w:after="0" w:line="140" w:lineRule="exact"/>
              <w:rPr>
                <w:sz w:val="20"/>
                <w:szCs w:val="20"/>
                <w:color w:val="auto"/>
              </w:rPr>
            </w:pPr>
            <w:r>
              <w:rPr>
                <w:rFonts w:ascii="Times New Roman" w:cs="Times New Roman" w:eastAsia="Times New Roman" w:hAnsi="Times New Roman"/>
                <w:sz w:val="14"/>
                <w:szCs w:val="14"/>
                <w:color w:val="0000EE"/>
              </w:rPr>
              <w:t>SOURCES OF INDUSTRY AND MARKET DATA</w:t>
            </w:r>
          </w:p>
        </w:tc>
        <w:tc>
          <w:tcPr>
            <w:tcW w:w="6560" w:type="dxa"/>
            <w:vAlign w:val="bottom"/>
            <w:gridSpan w:val="9"/>
          </w:tcPr>
          <w:p>
            <w:pPr>
              <w:spacing w:after="0"/>
              <w:rPr>
                <w:sz w:val="12"/>
                <w:szCs w:val="12"/>
                <w:color w:val="auto"/>
              </w:rPr>
            </w:pPr>
          </w:p>
        </w:tc>
        <w:tc>
          <w:tcPr>
            <w:tcW w:w="1700" w:type="dxa"/>
            <w:vAlign w:val="bottom"/>
          </w:tcPr>
          <w:p>
            <w:pPr>
              <w:jc w:val="center"/>
              <w:ind w:left="1108"/>
              <w:spacing w:after="0" w:line="140" w:lineRule="exact"/>
              <w:rPr>
                <w:sz w:val="20"/>
                <w:szCs w:val="20"/>
                <w:color w:val="auto"/>
              </w:rPr>
            </w:pPr>
            <w:r>
              <w:rPr>
                <w:rFonts w:ascii="Times New Roman" w:cs="Times New Roman" w:eastAsia="Times New Roman" w:hAnsi="Times New Roman"/>
                <w:sz w:val="14"/>
                <w:szCs w:val="14"/>
                <w:color w:val="auto"/>
              </w:rPr>
              <w:t>v</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00" w:type="dxa"/>
            <w:vAlign w:val="bottom"/>
            <w:tcBorders>
              <w:bottom w:val="single" w:sz="8" w:color="0000EE"/>
            </w:tcBorders>
            <w:gridSpan w:val="1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4960" w:type="dxa"/>
            <w:vAlign w:val="bottom"/>
            <w:tcBorders>
              <w:bottom w:val="single" w:sz="8" w:color="CCEEFF"/>
            </w:tcBorders>
            <w:gridSpan w:val="3"/>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jc w:val="center"/>
              <w:ind w:left="1108"/>
              <w:spacing w:after="0" w:line="152" w:lineRule="exact"/>
              <w:rPr>
                <w:sz w:val="20"/>
                <w:szCs w:val="20"/>
                <w:color w:val="auto"/>
              </w:rPr>
            </w:pPr>
            <w:r>
              <w:rPr>
                <w:rFonts w:ascii="Times New Roman" w:cs="Times New Roman" w:eastAsia="Times New Roman" w:hAnsi="Times New Roman"/>
                <w:sz w:val="14"/>
                <w:szCs w:val="14"/>
                <w:color w:val="auto"/>
              </w:rPr>
              <w:t>v</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560" w:type="dxa"/>
            <w:vAlign w:val="bottom"/>
            <w:gridSpan w:val="20"/>
          </w:tcPr>
          <w:p>
            <w:pPr>
              <w:spacing w:after="0" w:line="140" w:lineRule="exact"/>
              <w:rPr>
                <w:sz w:val="20"/>
                <w:szCs w:val="20"/>
                <w:color w:val="auto"/>
              </w:rPr>
            </w:pPr>
            <w:r>
              <w:rPr>
                <w:rFonts w:ascii="Times New Roman" w:cs="Times New Roman" w:eastAsia="Times New Roman" w:hAnsi="Times New Roman"/>
                <w:sz w:val="14"/>
                <w:szCs w:val="14"/>
                <w:color w:val="0000EE"/>
              </w:rPr>
              <w:t>SUMMARY OF THE PROSPECTUS</w:t>
            </w:r>
          </w:p>
        </w:tc>
        <w:tc>
          <w:tcPr>
            <w:tcW w:w="1700" w:type="dxa"/>
            <w:vAlign w:val="bottom"/>
          </w:tcPr>
          <w:p>
            <w:pPr>
              <w:jc w:val="center"/>
              <w:ind w:left="1108"/>
              <w:spacing w:after="0" w:line="140"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180" w:type="dxa"/>
            <w:vAlign w:val="bottom"/>
            <w:tcBorders>
              <w:top w:val="single" w:sz="8" w:color="0000EE"/>
            </w:tcBorders>
            <w:gridSpan w:val="9"/>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THE OFFERING</w:t>
            </w:r>
          </w:p>
        </w:tc>
        <w:tc>
          <w:tcPr>
            <w:tcW w:w="7380" w:type="dxa"/>
            <w:vAlign w:val="bottom"/>
            <w:gridSpan w:val="11"/>
            <w:shd w:val="clear" w:color="auto" w:fill="CCEEFF"/>
          </w:tcPr>
          <w:p>
            <w:pPr>
              <w:spacing w:after="0"/>
              <w:rPr>
                <w:sz w:val="14"/>
                <w:szCs w:val="14"/>
                <w:color w:val="auto"/>
              </w:rPr>
            </w:pPr>
          </w:p>
        </w:tc>
        <w:tc>
          <w:tcPr>
            <w:tcW w:w="1700" w:type="dxa"/>
            <w:vAlign w:val="bottom"/>
            <w:shd w:val="clear" w:color="auto" w:fill="CCEEFF"/>
          </w:tcPr>
          <w:p>
            <w:pPr>
              <w:jc w:val="center"/>
              <w:ind w:left="1108"/>
              <w:spacing w:after="0" w:line="152"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20" w:type="dxa"/>
            <w:vAlign w:val="bottom"/>
            <w:tcBorders>
              <w:top w:val="single" w:sz="8" w:color="0000EE"/>
            </w:tcBorders>
            <w:gridSpan w:val="3"/>
          </w:tcPr>
          <w:p>
            <w:pPr>
              <w:spacing w:after="0" w:line="140" w:lineRule="exact"/>
              <w:rPr>
                <w:sz w:val="20"/>
                <w:szCs w:val="20"/>
                <w:color w:val="auto"/>
              </w:rPr>
            </w:pPr>
            <w:r>
              <w:rPr>
                <w:rFonts w:ascii="Times New Roman" w:cs="Times New Roman" w:eastAsia="Times New Roman" w:hAnsi="Times New Roman"/>
                <w:sz w:val="14"/>
                <w:szCs w:val="14"/>
                <w:color w:val="0000EE"/>
                <w:w w:val="99"/>
              </w:rPr>
              <w:t>RISK FACTORS</w:t>
            </w:r>
          </w:p>
        </w:tc>
        <w:tc>
          <w:tcPr>
            <w:tcW w:w="8540" w:type="dxa"/>
            <w:vAlign w:val="bottom"/>
            <w:tcBorders>
              <w:top w:val="single" w:sz="8" w:color="CCEEFF"/>
            </w:tcBorders>
            <w:gridSpan w:val="17"/>
          </w:tcPr>
          <w:p>
            <w:pPr>
              <w:spacing w:after="0"/>
              <w:rPr>
                <w:sz w:val="12"/>
                <w:szCs w:val="12"/>
                <w:color w:val="auto"/>
              </w:rPr>
            </w:pPr>
          </w:p>
        </w:tc>
        <w:tc>
          <w:tcPr>
            <w:tcW w:w="1700" w:type="dxa"/>
            <w:vAlign w:val="bottom"/>
            <w:tcBorders>
              <w:top w:val="single" w:sz="8" w:color="CCEEFF"/>
            </w:tcBorders>
          </w:tcPr>
          <w:p>
            <w:pPr>
              <w:jc w:val="center"/>
              <w:ind w:left="1108"/>
              <w:spacing w:after="0" w:line="140"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9560" w:type="dxa"/>
            <w:vAlign w:val="bottom"/>
            <w:gridSpan w:val="20"/>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USE OF PROCEEDS</w:t>
            </w:r>
          </w:p>
        </w:tc>
        <w:tc>
          <w:tcPr>
            <w:tcW w:w="1700" w:type="dxa"/>
            <w:vAlign w:val="bottom"/>
            <w:shd w:val="clear" w:color="auto" w:fill="CCEEFF"/>
          </w:tcPr>
          <w:p>
            <w:pPr>
              <w:jc w:val="center"/>
              <w:ind w:left="1128"/>
              <w:spacing w:after="0" w:line="152" w:lineRule="exact"/>
              <w:rPr>
                <w:sz w:val="20"/>
                <w:szCs w:val="20"/>
                <w:color w:val="auto"/>
              </w:rPr>
            </w:pPr>
            <w:r>
              <w:rPr>
                <w:rFonts w:ascii="Times New Roman" w:cs="Times New Roman" w:eastAsia="Times New Roman" w:hAnsi="Times New Roman"/>
                <w:sz w:val="14"/>
                <w:szCs w:val="14"/>
                <w:color w:val="auto"/>
                <w:w w:val="99"/>
              </w:rPr>
              <w:t>23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560" w:type="dxa"/>
            <w:vAlign w:val="bottom"/>
            <w:tcBorders>
              <w:bottom w:val="single" w:sz="8" w:color="0000EE"/>
            </w:tcBorders>
            <w:gridSpan w:val="16"/>
          </w:tcPr>
          <w:p>
            <w:pPr>
              <w:spacing w:after="0" w:line="140" w:lineRule="exact"/>
              <w:rPr>
                <w:sz w:val="20"/>
                <w:szCs w:val="20"/>
                <w:color w:val="auto"/>
              </w:rPr>
            </w:pPr>
            <w:r>
              <w:rPr>
                <w:rFonts w:ascii="Times New Roman" w:cs="Times New Roman" w:eastAsia="Times New Roman" w:hAnsi="Times New Roman"/>
                <w:sz w:val="14"/>
                <w:szCs w:val="14"/>
                <w:color w:val="0000EE"/>
              </w:rPr>
              <w:t>MARKET PRICE OF THE CLASS A COMMON STOCK AND DIVIDENDS</w:t>
            </w:r>
          </w:p>
        </w:tc>
        <w:tc>
          <w:tcPr>
            <w:tcW w:w="5000" w:type="dxa"/>
            <w:vAlign w:val="bottom"/>
            <w:gridSpan w:val="4"/>
          </w:tcPr>
          <w:p>
            <w:pPr>
              <w:spacing w:after="0"/>
              <w:rPr>
                <w:sz w:val="12"/>
                <w:szCs w:val="12"/>
                <w:color w:val="auto"/>
              </w:rPr>
            </w:pPr>
          </w:p>
        </w:tc>
        <w:tc>
          <w:tcPr>
            <w:tcW w:w="1700" w:type="dxa"/>
            <w:vAlign w:val="bottom"/>
          </w:tcPr>
          <w:p>
            <w:pPr>
              <w:jc w:val="center"/>
              <w:ind w:left="1128"/>
              <w:spacing w:after="0" w:line="140" w:lineRule="exact"/>
              <w:rPr>
                <w:sz w:val="20"/>
                <w:szCs w:val="20"/>
                <w:color w:val="auto"/>
              </w:rPr>
            </w:pPr>
            <w:r>
              <w:rPr>
                <w:rFonts w:ascii="Times New Roman" w:cs="Times New Roman" w:eastAsia="Times New Roman" w:hAnsi="Times New Roman"/>
                <w:sz w:val="14"/>
                <w:szCs w:val="14"/>
                <w:color w:val="auto"/>
                <w:w w:val="99"/>
              </w:rPr>
              <w:t>24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560" w:type="dxa"/>
            <w:vAlign w:val="bottom"/>
            <w:gridSpan w:val="20"/>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MANAGEMENT’S DISCUSSION AND ANALYSIS OF FINANCIAL CONDITION AND RESULTS OF OPERATIONS OF MOBIX LABS</w:t>
            </w:r>
          </w:p>
        </w:tc>
        <w:tc>
          <w:tcPr>
            <w:tcW w:w="1700" w:type="dxa"/>
            <w:vAlign w:val="bottom"/>
            <w:shd w:val="clear" w:color="auto" w:fill="CCEEFF"/>
          </w:tcPr>
          <w:p>
            <w:pPr>
              <w:jc w:val="center"/>
              <w:ind w:left="1128"/>
              <w:spacing w:after="0" w:line="152" w:lineRule="exact"/>
              <w:rPr>
                <w:sz w:val="20"/>
                <w:szCs w:val="20"/>
                <w:color w:val="auto"/>
              </w:rPr>
            </w:pPr>
            <w:r>
              <w:rPr>
                <w:rFonts w:ascii="Times New Roman" w:cs="Times New Roman" w:eastAsia="Times New Roman" w:hAnsi="Times New Roman"/>
                <w:sz w:val="14"/>
                <w:szCs w:val="14"/>
                <w:color w:val="auto"/>
                <w:w w:val="99"/>
              </w:rPr>
              <w:t>25</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220" w:type="dxa"/>
            <w:vAlign w:val="bottom"/>
            <w:tcBorders>
              <w:top w:val="single" w:sz="8" w:color="0000EE"/>
            </w:tcBorders>
            <w:gridSpan w:val="19"/>
          </w:tcPr>
          <w:p>
            <w:pPr>
              <w:spacing w:after="0" w:line="140" w:lineRule="exact"/>
              <w:rPr>
                <w:sz w:val="20"/>
                <w:szCs w:val="20"/>
                <w:color w:val="auto"/>
              </w:rPr>
            </w:pPr>
            <w:r>
              <w:rPr>
                <w:rFonts w:ascii="Times New Roman" w:cs="Times New Roman" w:eastAsia="Times New Roman" w:hAnsi="Times New Roman"/>
                <w:sz w:val="14"/>
                <w:szCs w:val="14"/>
                <w:color w:val="0000EE"/>
              </w:rPr>
              <w:t>BUSINESS</w:t>
            </w:r>
          </w:p>
        </w:tc>
        <w:tc>
          <w:tcPr>
            <w:tcW w:w="1340" w:type="dxa"/>
            <w:vAlign w:val="bottom"/>
            <w:tcBorders>
              <w:top w:val="single" w:sz="8" w:color="CCEEFF"/>
            </w:tcBorders>
          </w:tcPr>
          <w:p>
            <w:pPr>
              <w:spacing w:after="0"/>
              <w:rPr>
                <w:sz w:val="12"/>
                <w:szCs w:val="12"/>
                <w:color w:val="auto"/>
              </w:rPr>
            </w:pPr>
          </w:p>
        </w:tc>
        <w:tc>
          <w:tcPr>
            <w:tcW w:w="1700" w:type="dxa"/>
            <w:vAlign w:val="bottom"/>
            <w:tcBorders>
              <w:top w:val="single" w:sz="8" w:color="CCEEFF"/>
            </w:tcBorders>
          </w:tcPr>
          <w:p>
            <w:pPr>
              <w:jc w:val="center"/>
              <w:ind w:left="1128"/>
              <w:spacing w:after="0" w:line="140" w:lineRule="exact"/>
              <w:rPr>
                <w:sz w:val="20"/>
                <w:szCs w:val="20"/>
                <w:color w:val="auto"/>
              </w:rPr>
            </w:pPr>
            <w:r>
              <w:rPr>
                <w:rFonts w:ascii="Times New Roman" w:cs="Times New Roman" w:eastAsia="Times New Roman" w:hAnsi="Times New Roman"/>
                <w:sz w:val="14"/>
                <w:szCs w:val="14"/>
                <w:color w:val="auto"/>
                <w:w w:val="99"/>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9560" w:type="dxa"/>
            <w:vAlign w:val="bottom"/>
            <w:gridSpan w:val="20"/>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MANAGEMENT</w:t>
            </w:r>
          </w:p>
        </w:tc>
        <w:tc>
          <w:tcPr>
            <w:tcW w:w="1700" w:type="dxa"/>
            <w:vAlign w:val="bottom"/>
            <w:shd w:val="clear" w:color="auto" w:fill="CCEEFF"/>
          </w:tcPr>
          <w:p>
            <w:pPr>
              <w:jc w:val="center"/>
              <w:ind w:left="1128"/>
              <w:spacing w:after="0" w:line="152" w:lineRule="exact"/>
              <w:rPr>
                <w:sz w:val="20"/>
                <w:szCs w:val="20"/>
                <w:color w:val="auto"/>
              </w:rPr>
            </w:pPr>
            <w:r>
              <w:rPr>
                <w:rFonts w:ascii="Times New Roman" w:cs="Times New Roman" w:eastAsia="Times New Roman" w:hAnsi="Times New Roman"/>
                <w:sz w:val="14"/>
                <w:szCs w:val="14"/>
                <w:color w:val="auto"/>
                <w:w w:val="99"/>
              </w:rPr>
              <w:t>52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040" w:type="dxa"/>
            <w:vAlign w:val="bottom"/>
            <w:tcBorders>
              <w:bottom w:val="single" w:sz="8" w:color="0000EE"/>
            </w:tcBorders>
            <w:gridSpan w:val="12"/>
          </w:tcPr>
          <w:p>
            <w:pPr>
              <w:spacing w:after="0" w:line="140" w:lineRule="exact"/>
              <w:rPr>
                <w:sz w:val="20"/>
                <w:szCs w:val="20"/>
                <w:color w:val="auto"/>
              </w:rPr>
            </w:pPr>
            <w:r>
              <w:rPr>
                <w:rFonts w:ascii="Times New Roman" w:cs="Times New Roman" w:eastAsia="Times New Roman" w:hAnsi="Times New Roman"/>
                <w:sz w:val="14"/>
                <w:szCs w:val="14"/>
                <w:color w:val="0000EE"/>
              </w:rPr>
              <w:t>EXECUTIVE AND DIRECTOR COMPENSATION</w:t>
            </w:r>
          </w:p>
        </w:tc>
        <w:tc>
          <w:tcPr>
            <w:tcW w:w="6520" w:type="dxa"/>
            <w:vAlign w:val="bottom"/>
            <w:gridSpan w:val="8"/>
          </w:tcPr>
          <w:p>
            <w:pPr>
              <w:spacing w:after="0"/>
              <w:rPr>
                <w:sz w:val="12"/>
                <w:szCs w:val="12"/>
                <w:color w:val="auto"/>
              </w:rPr>
            </w:pPr>
          </w:p>
        </w:tc>
        <w:tc>
          <w:tcPr>
            <w:tcW w:w="1700" w:type="dxa"/>
            <w:vAlign w:val="bottom"/>
          </w:tcPr>
          <w:p>
            <w:pPr>
              <w:jc w:val="center"/>
              <w:ind w:left="1128"/>
              <w:spacing w:after="0" w:line="140" w:lineRule="exact"/>
              <w:rPr>
                <w:sz w:val="20"/>
                <w:szCs w:val="20"/>
                <w:color w:val="auto"/>
              </w:rPr>
            </w:pPr>
            <w:r>
              <w:rPr>
                <w:rFonts w:ascii="Times New Roman" w:cs="Times New Roman" w:eastAsia="Times New Roman" w:hAnsi="Times New Roman"/>
                <w:sz w:val="14"/>
                <w:szCs w:val="14"/>
                <w:color w:val="auto"/>
                <w:w w:val="99"/>
              </w:rPr>
              <w:t>58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560" w:type="dxa"/>
            <w:vAlign w:val="bottom"/>
            <w:gridSpan w:val="20"/>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DESCRIPTION OF SECURITIES</w:t>
            </w:r>
          </w:p>
        </w:tc>
        <w:tc>
          <w:tcPr>
            <w:tcW w:w="1700" w:type="dxa"/>
            <w:vAlign w:val="bottom"/>
            <w:shd w:val="clear" w:color="auto" w:fill="CCEEFF"/>
          </w:tcPr>
          <w:p>
            <w:pPr>
              <w:jc w:val="center"/>
              <w:ind w:left="1128"/>
              <w:spacing w:after="0" w:line="152" w:lineRule="exact"/>
              <w:rPr>
                <w:sz w:val="20"/>
                <w:szCs w:val="20"/>
                <w:color w:val="auto"/>
              </w:rPr>
            </w:pPr>
            <w:r>
              <w:rPr>
                <w:rFonts w:ascii="Times New Roman" w:cs="Times New Roman" w:eastAsia="Times New Roman" w:hAnsi="Times New Roman"/>
                <w:sz w:val="14"/>
                <w:szCs w:val="14"/>
                <w:color w:val="auto"/>
                <w:w w:val="99"/>
              </w:rPr>
              <w:t>65</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9560" w:type="dxa"/>
            <w:vAlign w:val="bottom"/>
            <w:gridSpan w:val="20"/>
          </w:tcPr>
          <w:p>
            <w:pPr>
              <w:spacing w:after="0" w:line="140" w:lineRule="exact"/>
              <w:rPr>
                <w:sz w:val="20"/>
                <w:szCs w:val="20"/>
                <w:color w:val="auto"/>
              </w:rPr>
            </w:pPr>
            <w:r>
              <w:rPr>
                <w:rFonts w:ascii="Times New Roman" w:cs="Times New Roman" w:eastAsia="Times New Roman" w:hAnsi="Times New Roman"/>
                <w:sz w:val="14"/>
                <w:szCs w:val="14"/>
                <w:color w:val="0000EE"/>
              </w:rPr>
              <w:t>SECURITY OWNERSHIP OF CERTAIN BENEFICIAL OWNERS AND MANAGEMENT</w:t>
            </w:r>
          </w:p>
        </w:tc>
        <w:tc>
          <w:tcPr>
            <w:tcW w:w="1700" w:type="dxa"/>
            <w:vAlign w:val="bottom"/>
          </w:tcPr>
          <w:p>
            <w:pPr>
              <w:jc w:val="center"/>
              <w:ind w:left="1128"/>
              <w:spacing w:after="0" w:line="140" w:lineRule="exact"/>
              <w:rPr>
                <w:sz w:val="20"/>
                <w:szCs w:val="20"/>
                <w:color w:val="auto"/>
              </w:rPr>
            </w:pPr>
            <w:r>
              <w:rPr>
                <w:rFonts w:ascii="Times New Roman" w:cs="Times New Roman" w:eastAsia="Times New Roman" w:hAnsi="Times New Roman"/>
                <w:sz w:val="14"/>
                <w:szCs w:val="14"/>
                <w:color w:val="auto"/>
                <w:w w:val="99"/>
              </w:rPr>
              <w:t>78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340" w:type="dxa"/>
            <w:vAlign w:val="bottom"/>
            <w:tcBorders>
              <w:top w:val="single" w:sz="8" w:color="0000EE"/>
            </w:tcBorders>
            <w:gridSpan w:val="18"/>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SELLING STOCKHOLDER</w:t>
            </w:r>
          </w:p>
        </w:tc>
        <w:tc>
          <w:tcPr>
            <w:tcW w:w="4220" w:type="dxa"/>
            <w:vAlign w:val="bottom"/>
            <w:gridSpan w:val="2"/>
            <w:shd w:val="clear" w:color="auto" w:fill="CCEEFF"/>
          </w:tcPr>
          <w:p>
            <w:pPr>
              <w:spacing w:after="0"/>
              <w:rPr>
                <w:sz w:val="13"/>
                <w:szCs w:val="13"/>
                <w:color w:val="auto"/>
              </w:rPr>
            </w:pPr>
          </w:p>
        </w:tc>
        <w:tc>
          <w:tcPr>
            <w:tcW w:w="1700" w:type="dxa"/>
            <w:vAlign w:val="bottom"/>
            <w:shd w:val="clear" w:color="auto" w:fill="CCEEFF"/>
          </w:tcPr>
          <w:p>
            <w:pPr>
              <w:jc w:val="center"/>
              <w:ind w:left="1128"/>
              <w:spacing w:after="0" w:line="152" w:lineRule="exact"/>
              <w:rPr>
                <w:sz w:val="20"/>
                <w:szCs w:val="20"/>
                <w:color w:val="auto"/>
              </w:rPr>
            </w:pPr>
            <w:r>
              <w:rPr>
                <w:rFonts w:ascii="Times New Roman" w:cs="Times New Roman" w:eastAsia="Times New Roman" w:hAnsi="Times New Roman"/>
                <w:sz w:val="14"/>
                <w:szCs w:val="14"/>
                <w:color w:val="auto"/>
                <w:w w:val="99"/>
              </w:rPr>
              <w:t>80</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right w:val="single" w:sz="8" w:color="0000EE"/>
            </w:tcBorders>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9560" w:type="dxa"/>
            <w:vAlign w:val="bottom"/>
            <w:gridSpan w:val="20"/>
          </w:tcPr>
          <w:p>
            <w:pPr>
              <w:spacing w:after="0" w:line="140" w:lineRule="exact"/>
              <w:rPr>
                <w:sz w:val="20"/>
                <w:szCs w:val="20"/>
                <w:color w:val="auto"/>
              </w:rPr>
            </w:pPr>
            <w:r>
              <w:rPr>
                <w:rFonts w:ascii="Times New Roman" w:cs="Times New Roman" w:eastAsia="Times New Roman" w:hAnsi="Times New Roman"/>
                <w:sz w:val="14"/>
                <w:szCs w:val="14"/>
                <w:color w:val="0000EE"/>
              </w:rPr>
              <w:t>CERTAIN RELATIONSHIPS AND RELATED TRANSACTIONS</w:t>
            </w:r>
          </w:p>
        </w:tc>
        <w:tc>
          <w:tcPr>
            <w:tcW w:w="1700" w:type="dxa"/>
            <w:vAlign w:val="bottom"/>
          </w:tcPr>
          <w:p>
            <w:pPr>
              <w:jc w:val="center"/>
              <w:ind w:left="1128"/>
              <w:spacing w:after="0" w:line="140" w:lineRule="exact"/>
              <w:rPr>
                <w:sz w:val="20"/>
                <w:szCs w:val="20"/>
                <w:color w:val="auto"/>
              </w:rPr>
            </w:pPr>
            <w:r>
              <w:rPr>
                <w:rFonts w:ascii="Times New Roman" w:cs="Times New Roman" w:eastAsia="Times New Roman" w:hAnsi="Times New Roman"/>
                <w:sz w:val="14"/>
                <w:szCs w:val="14"/>
                <w:color w:val="auto"/>
                <w:w w:val="99"/>
              </w:rPr>
              <w:t>81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60" w:type="dxa"/>
            <w:vAlign w:val="bottom"/>
            <w:tcBorders>
              <w:top w:val="single" w:sz="8" w:color="0000EE"/>
              <w:bottom w:val="single" w:sz="8" w:color="0000EE"/>
              <w:right w:val="single" w:sz="8" w:color="CCEEFF"/>
            </w:tcBorders>
            <w:gridSpan w:val="6"/>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PLAN OF DISTRIBUTION</w:t>
            </w:r>
          </w:p>
        </w:tc>
        <w:tc>
          <w:tcPr>
            <w:tcW w:w="2200" w:type="dxa"/>
            <w:vAlign w:val="bottom"/>
            <w:tcBorders>
              <w:top w:val="single" w:sz="8" w:color="0000EE"/>
              <w:bottom w:val="single" w:sz="8" w:color="CCEEFF"/>
            </w:tcBorders>
            <w:gridSpan w:val="8"/>
            <w:shd w:val="clear" w:color="auto" w:fill="CCEEFF"/>
          </w:tcPr>
          <w:p>
            <w:pPr>
              <w:spacing w:after="0"/>
              <w:rPr>
                <w:sz w:val="14"/>
                <w:szCs w:val="14"/>
                <w:color w:val="auto"/>
              </w:rPr>
            </w:pPr>
          </w:p>
        </w:tc>
        <w:tc>
          <w:tcPr>
            <w:tcW w:w="5700" w:type="dxa"/>
            <w:vAlign w:val="bottom"/>
            <w:tcBorders>
              <w:bottom w:val="single" w:sz="8" w:color="CCEEFF"/>
            </w:tcBorders>
            <w:gridSpan w:val="6"/>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jc w:val="center"/>
              <w:ind w:left="1128"/>
              <w:spacing w:after="0" w:line="152" w:lineRule="exact"/>
              <w:rPr>
                <w:sz w:val="20"/>
                <w:szCs w:val="20"/>
                <w:color w:val="auto"/>
              </w:rPr>
            </w:pPr>
            <w:r>
              <w:rPr>
                <w:rFonts w:ascii="Times New Roman" w:cs="Times New Roman" w:eastAsia="Times New Roman" w:hAnsi="Times New Roman"/>
                <w:sz w:val="14"/>
                <w:szCs w:val="14"/>
                <w:color w:val="auto"/>
                <w:w w:val="99"/>
              </w:rPr>
              <w:t>84</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560" w:type="dxa"/>
            <w:vAlign w:val="bottom"/>
            <w:gridSpan w:val="20"/>
          </w:tcPr>
          <w:p>
            <w:pPr>
              <w:spacing w:after="0" w:line="140" w:lineRule="exact"/>
              <w:rPr>
                <w:sz w:val="20"/>
                <w:szCs w:val="20"/>
                <w:color w:val="auto"/>
              </w:rPr>
            </w:pPr>
            <w:r>
              <w:rPr>
                <w:rFonts w:ascii="Times New Roman" w:cs="Times New Roman" w:eastAsia="Times New Roman" w:hAnsi="Times New Roman"/>
                <w:sz w:val="14"/>
                <w:szCs w:val="14"/>
                <w:color w:val="0000EE"/>
              </w:rPr>
              <w:t>LEGAL MATTERS</w:t>
            </w:r>
          </w:p>
        </w:tc>
        <w:tc>
          <w:tcPr>
            <w:tcW w:w="1700" w:type="dxa"/>
            <w:vAlign w:val="bottom"/>
          </w:tcPr>
          <w:p>
            <w:pPr>
              <w:jc w:val="center"/>
              <w:ind w:left="1128"/>
              <w:spacing w:after="0" w:line="140" w:lineRule="exact"/>
              <w:rPr>
                <w:sz w:val="20"/>
                <w:szCs w:val="20"/>
                <w:color w:val="auto"/>
              </w:rPr>
            </w:pPr>
            <w:r>
              <w:rPr>
                <w:rFonts w:ascii="Times New Roman" w:cs="Times New Roman" w:eastAsia="Times New Roman" w:hAnsi="Times New Roman"/>
                <w:sz w:val="14"/>
                <w:szCs w:val="14"/>
                <w:color w:val="auto"/>
                <w:w w:val="99"/>
              </w:rPr>
              <w:t>86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Borders>
              <w:top w:val="single" w:sz="8" w:color="0000EE"/>
              <w:bottom w:val="single" w:sz="8" w:color="0000EE"/>
              <w:right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EXPERTS</w:t>
            </w:r>
          </w:p>
        </w:tc>
        <w:tc>
          <w:tcPr>
            <w:tcW w:w="480" w:type="dxa"/>
            <w:vAlign w:val="bottom"/>
            <w:tcBorders>
              <w:top w:val="single" w:sz="8" w:color="0000EE"/>
              <w:bottom w:val="single" w:sz="8" w:color="CCEEFF"/>
            </w:tcBorders>
            <w:gridSpan w:val="3"/>
            <w:shd w:val="clear" w:color="auto" w:fill="CCEEFF"/>
          </w:tcPr>
          <w:p>
            <w:pPr>
              <w:spacing w:after="0"/>
              <w:rPr>
                <w:sz w:val="14"/>
                <w:szCs w:val="14"/>
                <w:color w:val="auto"/>
              </w:rPr>
            </w:pPr>
          </w:p>
        </w:tc>
        <w:tc>
          <w:tcPr>
            <w:tcW w:w="8420" w:type="dxa"/>
            <w:vAlign w:val="bottom"/>
            <w:tcBorders>
              <w:bottom w:val="single" w:sz="8" w:color="CCEEFF"/>
            </w:tcBorders>
            <w:gridSpan w:val="16"/>
            <w:shd w:val="clear" w:color="auto" w:fill="CCEEFF"/>
          </w:tcPr>
          <w:p>
            <w:pPr>
              <w:spacing w:after="0"/>
              <w:rPr>
                <w:sz w:val="14"/>
                <w:szCs w:val="14"/>
                <w:color w:val="auto"/>
              </w:rPr>
            </w:pPr>
          </w:p>
        </w:tc>
        <w:tc>
          <w:tcPr>
            <w:tcW w:w="1700" w:type="dxa"/>
            <w:vAlign w:val="bottom"/>
            <w:tcBorders>
              <w:bottom w:val="single" w:sz="8" w:color="CCEEFF"/>
            </w:tcBorders>
            <w:shd w:val="clear" w:color="auto" w:fill="CCEEFF"/>
          </w:tcPr>
          <w:p>
            <w:pPr>
              <w:jc w:val="center"/>
              <w:ind w:left="1128"/>
              <w:spacing w:after="0" w:line="152" w:lineRule="exact"/>
              <w:rPr>
                <w:sz w:val="20"/>
                <w:szCs w:val="20"/>
                <w:color w:val="auto"/>
              </w:rPr>
            </w:pPr>
            <w:r>
              <w:rPr>
                <w:rFonts w:ascii="Times New Roman" w:cs="Times New Roman" w:eastAsia="Times New Roman" w:hAnsi="Times New Roman"/>
                <w:sz w:val="14"/>
                <w:szCs w:val="14"/>
                <w:color w:val="auto"/>
                <w:w w:val="99"/>
              </w:rPr>
              <w:t>86</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560" w:type="dxa"/>
            <w:vAlign w:val="bottom"/>
            <w:gridSpan w:val="20"/>
          </w:tcPr>
          <w:p>
            <w:pPr>
              <w:spacing w:after="0" w:line="140" w:lineRule="exact"/>
              <w:rPr>
                <w:sz w:val="20"/>
                <w:szCs w:val="20"/>
                <w:color w:val="auto"/>
              </w:rPr>
            </w:pPr>
            <w:r>
              <w:rPr>
                <w:rFonts w:ascii="Times New Roman" w:cs="Times New Roman" w:eastAsia="Times New Roman" w:hAnsi="Times New Roman"/>
                <w:sz w:val="14"/>
                <w:szCs w:val="14"/>
                <w:color w:val="0000EE"/>
              </w:rPr>
              <w:t>WHERE YOU CAN FIND ADDITIONAL INFORMATION</w:t>
            </w:r>
          </w:p>
        </w:tc>
        <w:tc>
          <w:tcPr>
            <w:tcW w:w="1700" w:type="dxa"/>
            <w:vAlign w:val="bottom"/>
          </w:tcPr>
          <w:p>
            <w:pPr>
              <w:jc w:val="center"/>
              <w:ind w:left="1128"/>
              <w:spacing w:after="0" w:line="140" w:lineRule="exact"/>
              <w:rPr>
                <w:sz w:val="20"/>
                <w:szCs w:val="20"/>
                <w:color w:val="auto"/>
              </w:rPr>
            </w:pPr>
            <w:r>
              <w:rPr>
                <w:rFonts w:ascii="Times New Roman" w:cs="Times New Roman" w:eastAsia="Times New Roman" w:hAnsi="Times New Roman"/>
                <w:sz w:val="14"/>
                <w:szCs w:val="14"/>
                <w:color w:val="auto"/>
                <w:w w:val="99"/>
              </w:rPr>
              <w:t>86</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500" w:type="dxa"/>
            <w:vAlign w:val="bottom"/>
            <w:tcBorders>
              <w:top w:val="single" w:sz="8" w:color="0000EE"/>
            </w:tcBorders>
            <w:gridSpan w:val="13"/>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INDEX TO FINANCIAL STATEMENTS</w:t>
            </w:r>
          </w:p>
        </w:tc>
        <w:tc>
          <w:tcPr>
            <w:tcW w:w="6060" w:type="dxa"/>
            <w:vAlign w:val="bottom"/>
            <w:gridSpan w:val="7"/>
            <w:shd w:val="clear" w:color="auto" w:fill="CCEEFF"/>
          </w:tcPr>
          <w:p>
            <w:pPr>
              <w:spacing w:after="0"/>
              <w:rPr>
                <w:sz w:val="14"/>
                <w:szCs w:val="14"/>
                <w:color w:val="auto"/>
              </w:rPr>
            </w:pPr>
          </w:p>
        </w:tc>
        <w:tc>
          <w:tcPr>
            <w:tcW w:w="1700" w:type="dxa"/>
            <w:vAlign w:val="bottom"/>
            <w:shd w:val="clear" w:color="auto" w:fill="CCEEFF"/>
          </w:tcPr>
          <w:p>
            <w:pPr>
              <w:jc w:val="center"/>
              <w:ind w:left="1108"/>
              <w:spacing w:after="0" w:line="152" w:lineRule="exact"/>
              <w:rPr>
                <w:sz w:val="20"/>
                <w:szCs w:val="20"/>
                <w:color w:val="auto"/>
              </w:rPr>
            </w:pPr>
            <w:r>
              <w:rPr>
                <w:rFonts w:ascii="Times New Roman" w:cs="Times New Roman" w:eastAsia="Times New Roman" w:hAnsi="Times New Roman"/>
                <w:sz w:val="14"/>
                <w:szCs w:val="14"/>
                <w:color w:val="auto"/>
              </w:rPr>
              <w:t>F-1</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CCEEFF"/>
              <w:bottom w:val="single" w:sz="8" w:color="auto"/>
            </w:tcBorders>
          </w:tcPr>
          <w:p>
            <w:pPr>
              <w:spacing w:after="0"/>
              <w:rPr>
                <w:sz w:val="24"/>
                <w:szCs w:val="24"/>
                <w:color w:val="auto"/>
              </w:rPr>
            </w:pPr>
          </w:p>
        </w:tc>
        <w:tc>
          <w:tcPr>
            <w:tcW w:w="2880" w:type="dxa"/>
            <w:vAlign w:val="bottom"/>
            <w:tcBorders>
              <w:top w:val="single" w:sz="8" w:color="CCEEFF"/>
              <w:bottom w:val="single" w:sz="8" w:color="auto"/>
            </w:tcBorders>
          </w:tcPr>
          <w:p>
            <w:pPr>
              <w:spacing w:after="0"/>
              <w:rPr>
                <w:sz w:val="24"/>
                <w:szCs w:val="24"/>
                <w:color w:val="auto"/>
              </w:rPr>
            </w:pPr>
          </w:p>
        </w:tc>
        <w:tc>
          <w:tcPr>
            <w:tcW w:w="1340" w:type="dxa"/>
            <w:vAlign w:val="bottom"/>
            <w:tcBorders>
              <w:top w:val="single" w:sz="8" w:color="CCEEFF"/>
              <w:bottom w:val="single" w:sz="8" w:color="auto"/>
            </w:tcBorders>
          </w:tcPr>
          <w:p>
            <w:pPr>
              <w:spacing w:after="0"/>
              <w:rPr>
                <w:sz w:val="24"/>
                <w:szCs w:val="24"/>
                <w:color w:val="auto"/>
              </w:rPr>
            </w:pPr>
          </w:p>
        </w:tc>
        <w:tc>
          <w:tcPr>
            <w:tcW w:w="17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53"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This prospectus relates to the resale by the Selling Stockholder identified in this prospectus under the caption “Selling Stockholder,” from time to time, of up to an aggregate of 6,000,000 shares of Class A Common Stock. We are not selling any shares of Class A Common Stock under this prospectus, and we will not receive any proceeds from the sale of shares of Class A Common Stock offered hereby by the Selling Stockholder. We may receive up to $9,800,000 to the extent the Preferred Warrants are exercised.</w:t>
      </w:r>
    </w:p>
    <w:p>
      <w:pPr>
        <w:spacing w:after="0" w:line="13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We may also file a prospectus supplement or additional post-effective amendments to the registration statement of which this prospectus forms a part that may contain material information relating to these offerings. The prospectus supplement or any additional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Before purchasing any securities, you should carefully read this prospectus, any post-effective amendment, and any applicable prospectus supplement, together with the additional information described under the heading “Where You Can Find Additional Information.”</w:t>
      </w:r>
    </w:p>
    <w:p>
      <w:pPr>
        <w:spacing w:after="0" w:line="144"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Neither we, nor the Selling Stockholder, have authorized anyone to provide you with any information or to make any representations other than those contained in this prospectus, any post-effective amendment, or any applicable prospectus supplement prepared by or on behalf of us or to which we have referred you. We and the Selling Stockholder take no responsibility for and can provide no assurance as to the reliability of any other information that others may give you. We and the Selling Stockholder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contains, and any post-effective amendment or any prospectus supplement may contain, market data and industry statistics and forecasts that are based on independent industry publications and other publicly available information. In addition, the market and industry data and forecasts that may be included in this prospectus, any post-effective amendment or any prospectus supplement may involve estimates, assumptions and other risks and uncertainties and are subject to change based on various factors, including those discussed under the heading “Risk Factors” contained in this prospectus, any post-effective amendment and the applicable prospectus supplement. Accordingly, investors should not place undue reliance on this information.</w:t>
      </w:r>
    </w:p>
    <w:p>
      <w:pPr>
        <w:spacing w:after="0" w:line="146"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This prospectus is an offer to sell only the securities offered hereby and only under circumstances and in jurisdictions where it is lawful to do so. This prospectus is not an offer to sell securities, and it is not soliciting an offer to buy securities, in any jurisdiction where the offer or sale is not permitted.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4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Unless otherwise indicated or the context otherwise requires, all references to “Mobix,” “Company,” “Registrant,” “we,” “our,” “ours” and “us” refer to Mobix Labs, Inc. and its subsidiaries. When we refer to “you” in this section, we mean all purchasers of the securities being offered by this prospectus and any accompanying prospectus supplement, whether they are the holders or only indirect owners of those securities.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3"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185"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(i) the market value of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measured on the last business day of our second fiscal quarter. Specifically, as a smaller reporting company, we may choose to present only the two most recent fiscal years of audited financial statements in our Annual Reports on Form 10-K and have reduced disclosure obligations regarding executive compensation, and, as long as we are a smaller reporting company with less than $100 million in annual revenue, we are not required to obtain an attestation report on internal control over financial reporting from our independent registered public accounting firm.</w:t>
      </w:r>
    </w:p>
    <w:p>
      <w:pPr>
        <w:spacing w:after="0" w:line="147"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We have taken advantage of reduced reporting requirements in this prospectus. Accordingly, the information contained herein may be different from the information you receive from other public companies in which you hold stock.</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3"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highlighted in the section titled “Risk Factors,” that represent challenges that we face in connection with the successful implementation of our strategy and the growth of our business. In particular, the following risks, among others, may offset our competitive strengths or have a negative effect on our business strategy, which could cause a decline in the price of the Class A Common Stock or public warrants and result in a loss of all or a portion of your investment: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Risks related to our business and industry</w:t>
      </w:r>
    </w:p>
    <w:p>
      <w:pPr>
        <w:spacing w:after="0" w:line="183" w:lineRule="exact"/>
        <w:rPr>
          <w:sz w:val="20"/>
          <w:szCs w:val="20"/>
          <w:color w:val="auto"/>
        </w:rPr>
      </w:pP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an early-stage company, and it remains difficult to evaluate our future prospects and the risks and challenges we may encounter.</w:t>
      </w:r>
    </w:p>
    <w:p>
      <w:pPr>
        <w:spacing w:after="0" w:line="24"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predict whether we will maintain revenue growth.</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losses in the operation of our business and anticipate that our expenses will increase, potentially leading to continued losses from operations in the near future.</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assure you that we will achieve or maintain profitability and there is substantial doubt about our ability to continue as a going concern.</w:t>
      </w:r>
    </w:p>
    <w:p>
      <w:pPr>
        <w:spacing w:after="0" w:line="11"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need to raise additional capital in the future to execute our business plan to fund our operations and execute our business plan, which may not be available on terms acceptable to us, or at all. Any fundraising involving the sale and issuance of equity securities can substantially dilute existing stockholders.</w:t>
      </w:r>
    </w:p>
    <w:p>
      <w:pPr>
        <w:ind w:left="1040" w:hanging="517"/>
        <w:spacing w:after="0" w:line="256" w:lineRule="auto"/>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entered into a definitive agreement to acquire Special Project Delivery, Inc. and such acquisition is subject to significant uncertainty and may require additional dilutive financing.</w:t>
      </w:r>
    </w:p>
    <w:p>
      <w:pPr>
        <w:ind w:left="1040" w:hanging="517"/>
        <w:spacing w:after="0" w:line="256" w:lineRule="auto"/>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expansion into new lines of business under our National Security Matters (“NSM”) Initiative, including through acquisitions, may not be successful and could strain our financial and management resources.</w:t>
      </w:r>
    </w:p>
    <w:p>
      <w:pPr>
        <w:ind w:left="1040" w:hanging="517"/>
        <w:spacing w:after="0" w:line="256" w:lineRule="auto"/>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issue shares of Class A Common Stock upon conversion of the Series A 10% Convertible Preferred Stock and exercise of the Preferred Warrants is limited by Nasdaq listing standards unless we obtain stockholder approval, and conversions of the Series A 10% Convertible Preferred Stock may be substantially dilutive.</w:t>
      </w: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our Series A Preferred Stock and outstanding convertible notes impose significant restrictions on our operations and our ability to raise capital.</w:t>
      </w:r>
    </w:p>
    <w:p>
      <w:pPr>
        <w:spacing w:after="0" w:line="11"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under certain circumstances, to redeem or repay the outstanding Series A 10% Convertible Preferred Stock and our outstanding convertible notes for cash, at a premium, and to pay additional penalties and default interest, and such obligations could adversely affect our liquidity and financial condition.</w:t>
      </w: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successfully acquire or integrate new businesses, products, and technology.</w:t>
      </w:r>
    </w:p>
    <w:p>
      <w:pPr>
        <w:spacing w:after="0" w:line="11"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customers are unable to achieve widespread market acceptance of their products which incorporate our products, we may not be able to generate the revenue necessary to support our business.</w:t>
      </w: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generally require our products to undergo a lengthy qualification process.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Markets for our mmWave wireless semiconductor products are still developing and may not develop at the speed and scale as expected.</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execute our growth strategies effectively, our business may be adversely affected.</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markets for our semiconductor products and solutions are highly competitive.</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products and solutions are subject to intense competition.</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success will depend on our ability to successfully introduce new products and solutions for our markets that meet the needs of our customers.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consolidation or vertical integration of our customers may adversely affect our financial results.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generate a substantial portion of our revenues from one customer and expect that we will generate revenue from a limited number of customers in the near future.</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generally do not obtain long-term purchase commitments.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Defects in our products or poor design and engineering solutions could adversely affect our business.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third-party offshore suppliers for many of the components and materials used in our products.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and unfavorable global economic conditions could adversely affect our business.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manage the growth of our operations, our performance may suffer.</w:t>
      </w:r>
    </w:p>
    <w:p>
      <w:pPr>
        <w:spacing w:after="0" w:line="11"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comply with the laws and regulations to which we are subject could have a material adverse effect on our business, prospects, financial condition and results of operations.</w:t>
      </w: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trade policy, tariffs and import/export regulations may have a material adverse effect on our business, financial condition and results of operations.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success depends on our ability to retain key employees and to attract qualified personnel.</w:t>
      </w:r>
    </w:p>
    <w:p>
      <w:pPr>
        <w:spacing w:after="0" w:line="11"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identified material weaknesses in our internal control over financial reporting. If we are unable to remediate these material weaknesses or otherwise fail to maintain effective internal control over financial reporting, we may not be able to accurately or timely report our financial condition.</w:t>
      </w:r>
    </w:p>
    <w:p>
      <w:pPr>
        <w:ind w:left="1040" w:hanging="517"/>
        <w:spacing w:after="0" w:line="256" w:lineRule="auto"/>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could suffer in the event of a security breach involving our information technology (“IT”) systems or our intellectual property or other confidential or proprietary information.</w:t>
      </w: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Instituting and defending against intellectual property or other types of litigation and administrative proceedings could cause us to spend substantial resources.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and must remain in compliance with, laws and governmental regulations across various jurisdictions concerning the development and sale of our products.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3" w:right="319" w:bottom="1440" w:gutter="0" w:footer="0" w:header="0"/>
        </w:sectPr>
      </w:pPr>
    </w:p>
    <w:bookmarkStart w:id="6" w:name="page7"/>
    <w:bookmarkEnd w:id="6"/>
    <w:p>
      <w:pPr>
        <w:ind w:left="1040" w:hanging="517"/>
        <w:spacing w:after="0"/>
        <w:tabs>
          <w:tab w:leader="none" w:pos="1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upon our officers and directors, and their loss could adversely affect us.</w:t>
      </w:r>
    </w:p>
    <w:p>
      <w:pPr>
        <w:spacing w:after="0" w:line="24"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of our potential customers may require us to comply with additional regulatory requirements.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adversely affected by violations of applicable anti-corruption laws or violations of our internal policies designed to ensure ethical business practices.</w:t>
      </w:r>
    </w:p>
    <w:p>
      <w:pPr>
        <w:spacing w:after="0" w:line="11"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intellectual property applications may not be issued or granted or may take longer than expected, which may have a material adverse effect on our ability to enforce our intellectual property rights.</w:t>
      </w:r>
    </w:p>
    <w:p>
      <w:pPr>
        <w:ind w:left="1040" w:hanging="517"/>
        <w:spacing w:after="0"/>
        <w:tabs>
          <w:tab w:leader="none" w:pos="1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our intellectual property, and our failure to protect that intellectual property could adversely affect our business.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state, federal and international privacy and data protection laws and regulations.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Risks Related to Ownership of Our Securities</w:t>
      </w:r>
    </w:p>
    <w:p>
      <w:pPr>
        <w:spacing w:after="0" w:line="183" w:lineRule="exact"/>
        <w:rPr>
          <w:sz w:val="20"/>
          <w:szCs w:val="20"/>
          <w:color w:val="auto"/>
        </w:rPr>
      </w:pPr>
    </w:p>
    <w:p>
      <w:pPr>
        <w:ind w:left="1040" w:hanging="517"/>
        <w:spacing w:after="0" w:line="266" w:lineRule="auto"/>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we are unable to maintain compliance with Nasdaq’s continued listing standards, Nasdaq may delist our securities from trading on its exchange, which could limit investors’ ability to make transactions in our securities and subject us to additional trading restrictions.</w:t>
      </w:r>
    </w:p>
    <w:p>
      <w:pPr>
        <w:spacing w:after="0" w:line="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Reverse Stock Split has led to a decrease in the overall market capitalization of the company.</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our securities may be volatile.</w:t>
      </w:r>
    </w:p>
    <w:p>
      <w:pPr>
        <w:spacing w:after="0" w:line="11"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equity research analysts do not publish research or reports, or if they publish unfavorable research or reports about our company, our stock price and its trading volume could decline.</w:t>
      </w:r>
    </w:p>
    <w:p>
      <w:pPr>
        <w:ind w:left="1040" w:hanging="517"/>
        <w:spacing w:after="0" w:line="256" w:lineRule="auto"/>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changing laws and regulations regarding regulatory matters, corporate governance and public disclosure that have increased both our costs and the risk of non-compliance.</w:t>
      </w:r>
    </w:p>
    <w:p>
      <w:pPr>
        <w:ind w:left="1040" w:hanging="517"/>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become subject to securities or class action litigation, which is expensive and could divert management’s attention.</w:t>
      </w:r>
    </w:p>
    <w:p>
      <w:pPr>
        <w:spacing w:after="0" w:line="11" w:lineRule="exact"/>
        <w:rPr>
          <w:rFonts w:ascii="Times New Roman" w:cs="Times New Roman" w:eastAsia="Times New Roman" w:hAnsi="Times New Roman"/>
          <w:sz w:val="14"/>
          <w:szCs w:val="14"/>
          <w:color w:val="auto"/>
        </w:rPr>
      </w:pPr>
    </w:p>
    <w:p>
      <w:pPr>
        <w:jc w:val="both"/>
        <w:ind w:left="1040" w:hanging="517"/>
        <w:spacing w:after="0" w:line="256" w:lineRule="auto"/>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combination of a floating, discounted conversion price, anti-dilution protection, and a potentially increasing stated value or principal amount could result in the issuance of a significantly greater number of shares of our common stock than currently anticipated, causing substantial and potentially continuing dilution to our stockholders and further depressing the market price of our Class A Common Stock.</w:t>
      </w:r>
    </w:p>
    <w:p>
      <w:pPr>
        <w:spacing w:after="0" w:line="1"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“smaller reporting company,” and if we take advantage of certain exemptions from disclosure requirements available to smaller reporting companies, our securities could be less attractive to investors.</w:t>
      </w:r>
    </w:p>
    <w:p>
      <w:pPr>
        <w:ind w:left="1040" w:hanging="517"/>
        <w:spacing w:after="0" w:line="256" w:lineRule="auto"/>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we do not anticipate paying any cash dividends on our Class A Common Stock in the foreseeable future, capital appreciation, if any, will be your sole source of gains and you may never receive a return on your investment.</w:t>
      </w:r>
    </w:p>
    <w:p>
      <w:pPr>
        <w:ind w:left="1040" w:hanging="517"/>
        <w:spacing w:after="0"/>
        <w:tabs>
          <w:tab w:leader="none" w:pos="10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our Class A Common Stock may cause the market price to drop significantly, even if our business is doing well.</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SOURCES OF INDUSTRY AND MARKET DATA</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Where information has been sourced from a third party, the source of such information has been identified. Unless otherwise indicated, the information contained in this prospectus on the market environment, market developments, growth rates, market trends and competition in the markets in which we operate is taken from publicly available sources, including third-party sources, or reflects our estimates that are principally based on information from publicly available sources.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Certain statements in this prospectus, the accompanying prospectus and the documents we incorporate by reference herein and thereto may constitute “forward-looking statements” for purposes of the federal securities laws. These forward-looking statements include, but are not limited to, statements regarding our and our management team’s expectations, hopes, beliefs, intentions or strategies regarding the future. The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and the documents we incorporate by reference into this prospectus may include, for example, statements about:</w:t>
      </w:r>
    </w:p>
    <w:p>
      <w:pPr>
        <w:spacing w:after="0" w:line="144" w:lineRule="exact"/>
        <w:rPr>
          <w:sz w:val="20"/>
          <w:szCs w:val="20"/>
          <w:color w:val="auto"/>
        </w:rPr>
      </w:pP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and business performance;</w:t>
      </w:r>
    </w:p>
    <w:p>
      <w:pPr>
        <w:spacing w:after="0" w:line="24"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compliance with listing rules of Nasdaq;</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intent to pursue acquisitions of companies and technologies and the impact of such acquisitions on our business and results of operations;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consummate the pending acquisition of Special Project Delivery, Inc. in the expected time frame or at all, and to finance that acquisition;</w:t>
      </w:r>
    </w:p>
    <w:p>
      <w:pPr>
        <w:spacing w:after="0" w:line="11" w:lineRule="exact"/>
        <w:rPr>
          <w:rFonts w:ascii="Times New Roman" w:cs="Times New Roman" w:eastAsia="Times New Roman" w:hAnsi="Times New Roman"/>
          <w:sz w:val="14"/>
          <w:szCs w:val="14"/>
          <w:color w:val="auto"/>
        </w:rPr>
      </w:pPr>
    </w:p>
    <w:p>
      <w:pPr>
        <w:jc w:val="both"/>
        <w:ind w:left="1040" w:hanging="517"/>
        <w:spacing w:after="0" w:line="256" w:lineRule="auto"/>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whether the assets and focus areas we have prioritized in furtherance of the NSM Initiative advance U.S. national security, reduce foreign dependency in critical supply chains, respond to announced federal supply-chain, stockpile and defense initiatives, and position us to help strengthen America’s defense industrial base and supply-chain resilience;</w:t>
      </w:r>
    </w:p>
    <w:p>
      <w:pPr>
        <w:spacing w:after="0" w:line="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growth of the markets in which we operate;</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intent to pursue acquisitions of companies and technologies and the impact of such acquisitions on our business and results of operations;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strategy, future operations, financial position, estimated revenues and losses, forecasts, projected costs, prospects and plans;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intent to commit significant resources to technology and product innovation and development;</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regarding our ability to continue as a going concern and ability to obtain sufficient liquidity to meet our operating needs and satisfy our obligations;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acquisitions of EMI Solutions, Inc. (“EMI Solutions”) and RaGE Systems, Inc. (“RaGE Systems”), and any impact on our business and results of operations;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market acceptance and success of our products and technology in the wireless and connectivity markets and in potential new categories for expansion;</w:t>
      </w:r>
    </w:p>
    <w:p>
      <w:pPr>
        <w:spacing w:after="0" w:line="11"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demand for our products and the drivers of that demand including our expectations regarding our ability to develop new communication solutions for both domestic and international markets;</w:t>
      </w: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opportunities and strategies for growth;</w:t>
      </w:r>
    </w:p>
    <w:p>
      <w:pPr>
        <w:spacing w:after="0" w:line="11"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our industry, the advantages of our products and technology over competing products and technology existing in the market, and competitive factors including with respect to technological capabilities, cost and scalability;</w:t>
      </w: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scale in a cost-effective manner and maintain and expand our manufacturing and supply chain relationships;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that we will incur substantial expenses and continuing losses for the foreseeable future;</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reliance on a limited number of customers and efforts to diversify our customer base;</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assumptions underlying our critical accounting estimates;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socio-political conditions and their impact on demand for our technology and on the supply chain on which we rely;</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capital requirements and sources and uses of cash; and</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known and unknown litigation and regulatory proceedings.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3" w:right="319" w:bottom="1440" w:gutter="0" w:footer="0" w:header="0"/>
        </w:sectPr>
      </w:pPr>
    </w:p>
    <w:bookmarkStart w:id="8" w:name="page9"/>
    <w:bookmarkEnd w:id="8"/>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and we undertake no obligations to update forward-looking statements to reflect events or circumstances after the date they were made, whether as a result of new information, future events or otherwise, except as may be required under applicable securities laws.</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123" w:lineRule="exact"/>
        <w:rPr>
          <w:sz w:val="20"/>
          <w:szCs w:val="20"/>
          <w:color w:val="auto"/>
        </w:rPr>
      </w:pPr>
    </w:p>
    <w:p>
      <w:pPr>
        <w:ind w:left="1040" w:hanging="517"/>
        <w:spacing w:after="0" w:line="266" w:lineRule="auto"/>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maintain compliance with the Nasdaq listing requirements, including the $1.00 minimum bid price requirement and the minimum $35 million market value of listed securities;</w:t>
      </w:r>
    </w:p>
    <w:p>
      <w:pPr>
        <w:spacing w:after="0" w:line="1"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dilutive effect of conversions of the Series A 10% Convertible Preferred Stock and the Additional Notes, the conversion price of which floats with the trading price of our Class A Common Stock;</w:t>
      </w:r>
    </w:p>
    <w:p>
      <w:pPr>
        <w:ind w:left="1040" w:hanging="517"/>
        <w:spacing w:after="0" w:line="256" w:lineRule="auto"/>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meet future capital requirements and risks related to our ability to raise additional capital in the future on attractive terms or at all, as well as the dilutive impact that may have on our stockholders;</w:t>
      </w:r>
    </w:p>
    <w:p>
      <w:pPr>
        <w:ind w:left="1040" w:hanging="517"/>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we are unable to successfully commercialize our products and solutions, or experience significant delays in doing so;</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we may not be able to generate income from operations in the foreseeable future;</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concerning our ability to continue as a going concern;</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we experience difficulties in managing our growth and expanding operations;</w:t>
      </w:r>
    </w:p>
    <w:p>
      <w:pPr>
        <w:spacing w:after="0" w:line="11"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we may not be able to consummate planned strategic acquisitions, including Special Project Delivery, Inc., or fully realize anticipated benefits from past or future acquisitions or investments;</w:t>
      </w:r>
    </w:p>
    <w:p>
      <w:pPr>
        <w:ind w:left="1040" w:hanging="517"/>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litigation may be commenced against us;</w:t>
      </w:r>
    </w:p>
    <w:p>
      <w:pPr>
        <w:spacing w:after="0" w:line="11"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our patent applications may not be approved or may take longer than expected, and we may incur substantial costs in enforcing and protecting our intellectual property;</w:t>
      </w:r>
    </w:p>
    <w:p>
      <w:pPr>
        <w:spacing w:after="0" w:line="172"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customers and grow our customer base;</w:t>
      </w:r>
    </w:p>
    <w:p>
      <w:pPr>
        <w:spacing w:after="0" w:line="11" w:lineRule="exact"/>
        <w:rPr>
          <w:rFonts w:ascii="Times New Roman" w:cs="Times New Roman" w:eastAsia="Times New Roman" w:hAnsi="Times New Roman"/>
          <w:sz w:val="14"/>
          <w:szCs w:val="14"/>
          <w:color w:val="auto"/>
        </w:rPr>
      </w:pPr>
    </w:p>
    <w:p>
      <w:pPr>
        <w:jc w:val="both"/>
        <w:ind w:left="1040" w:hanging="517"/>
        <w:spacing w:after="0" w:line="256" w:lineRule="auto"/>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price of our securities may be volatile due to a variety of factors, including changes in the highly competitive industries in which we operate, variations in performance across competitors, changes in laws, regulations, technologies, the global supply chain, and macro-economic and social environments affecting our business and changes in the combined capital structure; and</w:t>
      </w:r>
    </w:p>
    <w:p>
      <w:pPr>
        <w:spacing w:after="0" w:line="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factors described under the heading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below.</w:t>
      </w:r>
    </w:p>
    <w:p>
      <w:pPr>
        <w:spacing w:after="0" w:line="170"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geopolitical tensions, including further escalation of war between Russia and Ukraine, or the conflict pertaining to the Middle East, and there may be additional risks that we consider immaterial, or which are unknown. It is not possible to predict or identify all such risks. However, we encourage you to review our risk factors as set forth in the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on page 4 of this prospectus, in our annual report on Form 10-K for our fiscal year ended September 30, 2025, filed with the SEC on January 13, 2026 or in other periodic and current reports that we file with the SEC.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SUMMARY OF THE PROSPECTUS</w:t>
      </w:r>
    </w:p>
    <w:p>
      <w:pPr>
        <w:spacing w:after="0" w:line="183"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from this prospectus and may not contain all of the information that is important to you in making an investment decision. Before investing in our securities, you should carefully read this entire prospectus, including our financial statements and the related notes included in this prospectus and the information set forth under the sections titled “Risk Factors” and “Management’s Discussion and Analysis of Financial Condition and 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5" w:lineRule="exact"/>
        <w:rPr>
          <w:sz w:val="20"/>
          <w:szCs w:val="20"/>
          <w:color w:val="auto"/>
        </w:rPr>
      </w:pPr>
    </w:p>
    <w:p>
      <w:pPr>
        <w:jc w:val="both"/>
        <w:ind w:firstLine="517"/>
        <w:spacing w:after="0" w:line="259" w:lineRule="auto"/>
        <w:rPr>
          <w:sz w:val="20"/>
          <w:szCs w:val="20"/>
          <w:color w:val="auto"/>
        </w:rPr>
      </w:pPr>
      <w:r>
        <w:rPr>
          <w:rFonts w:ascii="Times New Roman" w:cs="Times New Roman" w:eastAsia="Times New Roman" w:hAnsi="Times New Roman"/>
          <w:sz w:val="14"/>
          <w:szCs w:val="14"/>
          <w:color w:val="auto"/>
        </w:rPr>
        <w:t>Based in Irvine, California, Mobix Labs designs, develops and sells components and systems for advanced wireless and wired connectivity, radio frequency (“RF”), switching and electromagnetic interference (“EMI”) filtering technologies. Our solutions are used in the consumer commercial, industrial, automotive, medical, aerospace, defense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In July 2026, our Board of Directors approved the launch of our National Security Matters (“NSM”) Initiative, broadening our strategic focus to businesses that advance U.S. national security priorities, including critical resources; defense, aerospace and autonomous systems; energy, water and critical infrastructure; and digital infrastructure and strategic technologies. Consistent with this strategy, in July 2026 we announced our intention to change our corporate name to NSM Labs, Inc. In furtherance of the NSM Initiative, we have also entered into a definitive agreement to acquire Special Project Delivery, Inc., a company focused on U.S. supply chains for rare earth elements and critical minerals – an opportunity we have prioritized around assets that we believe advance U.S. national security, reduce single points of foreign dependency in critical supply chains, and are responsive to the priorities reflected in announced federal supply-chain, stockpile and defense initiatives, including the U.S. Strategic Critical Minerals Reserve (“Project Vault”), financed in part by the Export-Import Bank of the United States, the “Golden Dome” missile defense initiative, and the executive order on “Unleashing American Drone Dominance.” We believe these focus areas position us to help strengthen America’s defense industrial base and supply-chain resilience. We are not a party to, and have not been awarded any contract or funding under, any of these programs or initiatives, and there can be no assurance that we or any business we acquire will participate in or benefit from them. See “Recent Developments” below.</w:t>
      </w:r>
    </w:p>
    <w:p>
      <w:pPr>
        <w:spacing w:after="0" w:line="32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Our wireless systems solutions include products for advanced RF and millimeter wave (“mmWave”) 5G communications, mmWave imaging, software defined radio and custom RF integrated circuits (“ICs”) targeting the commercial, industrial, and defense and aerospace sectors. Our interconnect products, including EMI filter inserts and filtered and non-filtered connectors, are designed for and are currently used in aerospace, military, defense and medical applications. Our True Xero active optical cables (“AOCs”) are designed to meet customer needs for high-quality active optical cable solutions at an affordable price. These innovative technologies are designed for large and rapidly growing markets where there is increasing demand for higher performance communication and filtering systems which utilize an expanding mix of both wireless and connectivity technologies.</w:t>
      </w:r>
    </w:p>
    <w:p>
      <w:pPr>
        <w:spacing w:after="0" w:line="144"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On December 21, 2023, we consummated the merger pursuant to the business combination agreement, dated November 15, 2022 (as amended, supplemented or otherwise modified, the “Business Combination Agreement”), by and among Chavant Capital Acquisition Corp.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(the “Company”) and Legacy Mobix changed its name from “Mobix Labs, Inc.” to “Mobix Labs Operations, Inc.”</w:t>
      </w:r>
    </w:p>
    <w:p>
      <w:pPr>
        <w:spacing w:after="0" w:line="143"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We were founded with the goal of simplifying the development and maximizing the performance of wireless mmWave 5G products by designing and developing high performance, cost-effective and ultra-compact semiconductor components and solutions used for signal processing applications in wireless products. Since our inception, our corporate strategy has evolved to encompass the pursuit of acquisitions in diverse industry sectors, including aerospace, military, defense, medical and high reliability (“HiRel”) technology, as part of our commitment to enhancing communication services. We have developed and/or acquired an extensive intellectual property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spacing w:after="0" w:line="147"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In 2021, we completed the acquisition of substantially all of the assets including intellectual property of Cosemi, an Irvine, California-based global supplier of high-speed connectivity solutions. The acquired products and intellectual property included a broad range of AOCs and optical engines that deliver optimal connectivity to a wide range of applications-including home entertainment, gaming, augmented reality and virtual reality, video conferencing, medical, mobile devices and monitors-and built the foundation for our current connectivity business. We believe the patented cable technology and AOC optical chip solutions from Cosemi along with our innovative wireless semiconductor technologies provide more opportunities in the wireless C-Band and mmWave 5G market as the need for faster, more reliable data transmission becomes ever more apparent, whether it is for the data center, infrastructure, home entertainment or consumer electronics market.</w:t>
      </w:r>
    </w:p>
    <w:p>
      <w:pPr>
        <w:spacing w:after="0" w:line="143"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On December 18, 2023, we completed the acquisition of EMI Solutions when we acquired all of the issued and outstanding common shares of EMI Solutions. EMI Solutions is a manufacturer of interconnect products, including electromagnetic interference filtering products for aerospace, military, defense and medical applications. We believe the acquisition of EMI Solutions complements our existing product offerings, expanded our customer base and allows us to deliver solutions that address a wider variety of applications and markets. Consideration for the acquisition of EMI Solutions consisted of 96,491 shares of Legacy Mobix common stock and $2.2 million in cash. We valued the common stock at $8.9 million, based on the fair value of the Legacy Mobix common stock at the time of the acquisition.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Conversion of Class B Shares</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Between August 21, 2026 and August 24, 2026, all holders of our Class B Common Stock delivered notice requesting that their outstanding balances of Class B Common Stock be converted into Class A Common Stock on a one-for-one basis. Following this conversion, there are no more shares of Class B Common Stock outstanding, and further issuances of Class B Common Stock can only be issued following an amendment to our Charter to allow for future issuances of Class B Common 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Kips Financing</w:t>
      </w:r>
    </w:p>
    <w:p>
      <w:pPr>
        <w:spacing w:after="0" w:line="185"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On May 19, 2026, we entered into a securities purchase agreement with Kips Bay Select, LP (“Kips”), pursuant to which we agreed to sell to Kips (i) 2,000 shares of Series A 10% Convertible Preferred Stock (“Series A Preferred Stock”) for aggregate gross proceeds of $2.4 million, and (ii) a Preferred Stock Purchase Warrant to purchase up to an additional 6,000 shares of Series A Preferred Stock at an exercise price of $1,000 per share (the “May 2026 Preferred Warrant”). The Preferred Shares are convertible into shares of our Class A Common Stock in accordance with the terms of the Certificate of Designation of Preferences, Rights and Limitations of Series A 10% Convertible Preferred Stock (the “COD”). On August 28, 2026, we amended the registration rights agreement and the securities purchase agreement, each entered into on May 19, 2026 with Kips, to issue and sell to Kips an additional 1,000 shares of Series A Preferred Stock and the August 2026 Preferred Warrant to purchase 6,000 additional shares of Series A Preferred Stock (the “August 2026 Preferred Warrant”, and together with the May 2026 Preferred Warrant, the “Preferred Warrants”). We are registering the resale of the shares of Class A Common Stock pursuant to this prospectus to comply with the registration rights agreement.</w:t>
      </w:r>
    </w:p>
    <w:p>
      <w:pPr>
        <w:spacing w:after="0" w:line="147"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As of October 14, 2026, Kips has exercised the Preferred Warrants to receive 2,200 shares of Series A Preferred Stock and has converted 4,959 shares of Series A Preferred Stock into 5,870,187 shares of Class A Common Stock. We received $2,200,000 of gross proceeds from the exercise of the Preferred Warrants. As of October 14, 2026, Kips has 241 shares of Series A Preferred Stock remaining and 9,800 shares of Series A Preferred Stock available upon exercise of the Preferred Warrants. If the remaining Preferred Warrants are exercised, we will receive $9,800,000 in gross proceeds.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color w:val="auto"/>
        </w:rPr>
        <w:t>Upcoming Annual Goodwill Impairment Test</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Our annual goodwill impairment assessment is performed each year as of July 31, 2026. Based on the preliminary results of our annual test for fiscal 2026, there are indications that the fair value of one of our reporting units does not exceed the carrying value and we expect to record a non-cash impairment charge in the fourth quarter of fiscal 2026. The amount of the impairment is not yet finalized, but we anticipate to be within the range of $0 to $5.5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Results of Special Meeting of Stockholders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held a special meeting of stockholders on October 2, 2026. At the meeting, stockholders approved:</w:t>
      </w:r>
    </w:p>
    <w:p>
      <w:pPr>
        <w:spacing w:after="0" w:line="183" w:lineRule="exact"/>
        <w:rPr>
          <w:sz w:val="20"/>
          <w:szCs w:val="20"/>
          <w:color w:val="auto"/>
        </w:rPr>
      </w:pPr>
    </w:p>
    <w:p>
      <w:pPr>
        <w:ind w:left="1300" w:hanging="261"/>
        <w:spacing w:after="0" w:line="266" w:lineRule="auto"/>
        <w:tabs>
          <w:tab w:leader="none" w:pos="13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to our Certificate of Incorporation, as amended, to effect a reclassification and combination of our shares of Class A Common Stock that are issued and outstanding immediately prior to a further reverse stock split at a ratio between 1:2 and 1:20;</w:t>
      </w:r>
    </w:p>
    <w:p>
      <w:pPr>
        <w:spacing w:after="0" w:line="1" w:lineRule="exact"/>
        <w:rPr>
          <w:rFonts w:ascii="Times New Roman" w:cs="Times New Roman" w:eastAsia="Times New Roman" w:hAnsi="Times New Roman"/>
          <w:sz w:val="14"/>
          <w:szCs w:val="14"/>
          <w:color w:val="auto"/>
        </w:rPr>
      </w:pPr>
    </w:p>
    <w:p>
      <w:pPr>
        <w:ind w:left="1300" w:hanging="261"/>
        <w:spacing w:after="0"/>
        <w:tabs>
          <w:tab w:leader="none" w:pos="13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the number of shares available for issuance under our equity incentive award plan;</w:t>
      </w:r>
    </w:p>
    <w:p>
      <w:pPr>
        <w:spacing w:after="0" w:line="11" w:lineRule="exact"/>
        <w:rPr>
          <w:rFonts w:ascii="Times New Roman" w:cs="Times New Roman" w:eastAsia="Times New Roman" w:hAnsi="Times New Roman"/>
          <w:sz w:val="14"/>
          <w:szCs w:val="14"/>
          <w:color w:val="auto"/>
        </w:rPr>
      </w:pPr>
    </w:p>
    <w:p>
      <w:pPr>
        <w:ind w:left="1300" w:hanging="261"/>
        <w:spacing w:after="0"/>
        <w:tabs>
          <w:tab w:leader="none" w:pos="13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shares of our Class A Common Stock to Kips in connection with the conversion of the Series A Preferred Stock; and</w:t>
      </w:r>
    </w:p>
    <w:p>
      <w:pPr>
        <w:spacing w:after="0" w:line="11" w:lineRule="exact"/>
        <w:rPr>
          <w:rFonts w:ascii="Times New Roman" w:cs="Times New Roman" w:eastAsia="Times New Roman" w:hAnsi="Times New Roman"/>
          <w:sz w:val="14"/>
          <w:szCs w:val="14"/>
          <w:color w:val="auto"/>
        </w:rPr>
      </w:pPr>
    </w:p>
    <w:p>
      <w:pPr>
        <w:ind w:left="1300" w:hanging="261"/>
        <w:spacing w:after="0" w:line="273" w:lineRule="auto"/>
        <w:tabs>
          <w:tab w:leader="none" w:pos="13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shares of our Class A Common Stock to Leviston Resources, LLC (“Leviston”) in connection with the conversion of senior secured promissory notes in the aggregate principal amount of $5.2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March 2026 Convertible Promissory Note</w:t>
      </w:r>
    </w:p>
    <w:p>
      <w:pPr>
        <w:spacing w:after="0" w:line="18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On March 31, 2026, we entered into a securities purchase agreement with Leviston, pursuant to which we agreed to issue a convertible promissory note. The $3 million principal amount of the promissory note was payable with interest on July 31, 2026. On May 13, 2026, we entered into a first amendment to the securities purchase agreement and promissory note with Leviston, amending the promissory note originally issued on March 31, 2026. Pursuant to the amendment, Leviston advanced an additional $0.8 million to us, increasing the total funded amount under the original convertible note to $3.3 million. The amendment increased the aggregate principal amount of the original convertible note from $3 million to $4 million. On May 18, 2026, we satisfied in full the entire $4 million of outstanding principal under the convertible note, together with all accrued interest thereon, through the conversion of such amounts into 2,500,000 shares of Class A Common Stock.</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Leviston Additional Notes</w:t>
      </w:r>
    </w:p>
    <w:p>
      <w:pPr>
        <w:spacing w:after="0" w:line="185"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On May 13, 2026, we entered into an Investor Rights Agreement (the “IRA”) with Leviston, in connection with the promissory note originally entered into on March 31, 2026 and amended pursuant to the amendment described above. Pursuant to the IRA, we granted Leviston the right, but not the obligation, to purchase one or more additional senior secured convertible notes (each, an “Additional Note”) from us during the seven-month period commencing May 13, 2026 and ending December 13, 2026, in an aggregate principal amount not to exceed $4 million.</w:t>
      </w:r>
    </w:p>
    <w:p>
      <w:pPr>
        <w:spacing w:after="0" w:line="135"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On May 18, 2026, we issued to Leviston a senior secured convertible promissory note in the original principal amount of $1.2 million, for gross proceeds to us of approximately $1 million. On June 22, 2026, we issued to Leviston a senior secured convertible promissory note in the original principal amount of $2.8 million, for gross proceeds to us of approximately $2.3 million. The notes mature on September 18, 2026 and October 22, 2026, respectively. Each note was issued as an Additional Note under the IRA. We also amended the registration rights agreement with Leviston relating to the resale registration of shares issuable upon conversion of the notes.</w:t>
      </w:r>
    </w:p>
    <w:p>
      <w:pPr>
        <w:spacing w:after="0" w:line="142"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On August 28, 2026, we entered into an amendment to the securities purchase agreement entered into on March 31, 2026 with Leviston, pursuant to which we issued an additional senior secured convertible promissory note with a principal amount of $1.2 million in favor of Leviston. In connection with this promissory note, we entered into a new investor rights agreement on August 28, 2026, which grants Leviston the right to purchase additional notes in an aggregate principal amount of up to $3.6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Vision Aerial Merger Agreement</w:t>
      </w:r>
    </w:p>
    <w:p>
      <w:pPr>
        <w:spacing w:after="0" w:line="185" w:lineRule="exact"/>
        <w:rPr>
          <w:sz w:val="20"/>
          <w:szCs w:val="20"/>
          <w:color w:val="auto"/>
        </w:rPr>
      </w:pPr>
    </w:p>
    <w:p>
      <w:pPr>
        <w:jc w:val="both"/>
        <w:ind w:firstLine="258"/>
        <w:spacing w:after="0" w:line="264" w:lineRule="auto"/>
        <w:rPr>
          <w:sz w:val="20"/>
          <w:szCs w:val="20"/>
          <w:color w:val="auto"/>
        </w:rPr>
      </w:pPr>
      <w:r>
        <w:rPr>
          <w:rFonts w:ascii="Times New Roman" w:cs="Times New Roman" w:eastAsia="Times New Roman" w:hAnsi="Times New Roman"/>
          <w:sz w:val="14"/>
          <w:szCs w:val="14"/>
          <w:color w:val="auto"/>
        </w:rPr>
        <w:t>On July 24, 2026, we entered into the Vision Aerial Merger Agreement which provided for our acquisition of Vision Aerial, Inc., a U.S.-based designer and manufacturer of unmanned aerial systems, for consideration consisting of (i) shares of our Class A Common Stock valued at $12 million, based on a 20-trading-day volume-weighted average price subject to a $2.00 floor and $3.00 cap per share, and (ii) $3 million in cash, subject to customary adjustments and holdbacks. The Vision Aerial Merger Agreement was terminated by the parties on October 14, 2026. The termination followed delays in completing certain due diligence and financial reporting matters, including the receipt of financial and accounting information necessary to complete the audit process. The transaction was not consummated within the contemplated timeframe. The termination was amicable, and we maintain a positive relationship with Vision Aerial and remain open to exploring potential opportunities with Vision Aerial in the future.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Special Project Delivery Merger Agreement</w:t>
      </w:r>
    </w:p>
    <w:p>
      <w:pPr>
        <w:spacing w:after="0" w:line="185"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On August 13, 2026, we entered into a definitive merger agreement to acquire Special Project Delivery, Inc. (“SPD”) for 4,800,000 shares of our Class A Common Stock. No shares will be issued unless and until our stockholders approve the issuance under Nasdaq Listing Rule 5635, and the closing is subject to that approval and other customary conditions. See Note 18 to our condensed consolidated financial statements. On September 30, 2026, SPD entered into a definitive business combination agreement to acquire Winner Water Services, Inc, a U.S. rare earth company (“Winner”), the closing of which is subject to customary approvals and conditions and is expected to close in connection with our acquisition of SPD.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Conversion of Notes Payable</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August 13, 2026, an unrelated investor submitted a conversion notice to convert $150 of outstanding principal and accrued interest into 126,957 shares of Class A Common Stock at a conversion price of $1.18 per share. That conversion was rescinded on August 18, 2026, and was not completed. On August 31, 2026, that same investor submitted a conversion notice to convert $115 of outstanding principal and accrued interest into 125,272 shares of Class A Common Stock at a conversion price of $0.92 per share.</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Between September 1, 2026 and September 22, 2026, a separate unrelated investor converted portions of its outstanding convertible promissory notes, dated February 23, 2026 and March 17, 2026, in the original principal amount of $316 and 238, into an aggregate of 866,298 shares of our Class A Common Stock at conversion prices ranging from $0.81 to $0.64. Additionally, on September 2, 2026, September 9, 2026 and October 6, we entered into three securities purchase agreements agreeing to issue to the investor additional convertible notes in the principal amounts of $267 for each 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National Security Matters Initiative</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July 21, 2026, our Board of Directors approved the launch of the NSM Initiative described under “Overview” above, broadening our strategic focus to businesses that advance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national security priorities. If the acquisitions are completed, SPD and Winner will join the NSM Initiative. .</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Corporate Name Change</w:t>
      </w:r>
    </w:p>
    <w:p>
      <w:pPr>
        <w:spacing w:after="0" w:line="185"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On July 27, 2026, we announced our intention to change our corporate name to NSM Labs, Inc., reflecting the expansion of our platform across national security markets. The name change is subject to stockholder approval. Until the change becomes effective, we will continue to operate as Mobix Labs, Inc., and our Class A Common Stock will continue to trade on Nasdaq under the symbol “MOBX.”</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December 21, 2023, we completed the Merger, pursuant to which we were renamed “Mobix Labs, Inc.” As of the open of trading on December 22, 2023, the Class A Common Stock and Public Warrants of Mobix Labs, Inc., formerly those of Chavant, began trading on the Nasdaq Stock Market under the ticker symbols “MOBX” and “MOBXW,” respectively.</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1 Venture, Suite 220, Irvine, CA 92618, and our telephone number at that location is (949) 808-8888. Our website address is </w:t>
      </w:r>
      <w:r>
        <w:rPr>
          <w:rFonts w:ascii="Times New Roman" w:cs="Times New Roman" w:eastAsia="Times New Roman" w:hAnsi="Times New Roman"/>
          <w:sz w:val="14"/>
          <w:szCs w:val="14"/>
          <w:i w:val="1"/>
          <w:iCs w:val="1"/>
          <w:color w:val="auto"/>
        </w:rPr>
        <w:t>https://www.mobixlabs.com</w:t>
      </w:r>
      <w:r>
        <w:rPr>
          <w:rFonts w:ascii="Times New Roman" w:cs="Times New Roman" w:eastAsia="Times New Roman" w:hAnsi="Times New Roman"/>
          <w:sz w:val="14"/>
          <w:szCs w:val="14"/>
          <w:color w:val="auto"/>
        </w:rPr>
        <w:t>. Information contained on our website is not a part of this prospectus, and the inclusion of our website address in this prospectus is an inactive textual reference only.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559"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OFFERING</w:t>
      </w:r>
    </w:p>
    <w:p>
      <w:pPr>
        <w:sectPr>
          <w:pgSz w:w="11900" w:h="16838" w:orient="portrait"/>
          <w:cols w:equalWidth="0" w:num="1">
            <w:col w:w="11280"/>
          </w:cols>
          <w:pgMar w:left="300" w:top="575" w:right="319" w:bottom="1440" w:gutter="0" w:footer="0" w:header="0"/>
        </w:sectPr>
      </w:pPr>
    </w:p>
    <w:p>
      <w:pPr>
        <w:spacing w:after="0" w:line="18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Shares of Class A Common Stock offered by the Selling Stockholder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Up to 6,000,000 shares of Class A Common Stock consisting entirely of shares issuable to an investor upon conversion of the Preferred Shares.</w:t>
      </w:r>
    </w:p>
    <w:p>
      <w:pPr>
        <w:spacing w:after="0" w:line="123" w:lineRule="exact"/>
        <w:rPr>
          <w:sz w:val="20"/>
          <w:szCs w:val="20"/>
          <w:color w:val="auto"/>
        </w:rPr>
      </w:pPr>
    </w:p>
    <w:p>
      <w:pPr>
        <w:sectPr>
          <w:pgSz w:w="11900" w:h="16838" w:orient="portrait"/>
          <w:cols w:equalWidth="0" w:num="2">
            <w:col w:w="3240" w:space="380"/>
            <w:col w:w="7660"/>
          </w:cols>
          <w:pgMar w:left="300" w:top="575"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Shares of Class A Common Stock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23,576,570 shares (as of October 14, 2026).</w:t>
      </w:r>
    </w:p>
    <w:p>
      <w:pPr>
        <w:spacing w:after="0" w:line="183" w:lineRule="exact"/>
        <w:rPr>
          <w:sz w:val="20"/>
          <w:szCs w:val="20"/>
          <w:color w:val="auto"/>
        </w:rPr>
      </w:pPr>
    </w:p>
    <w:p>
      <w:pPr>
        <w:sectPr>
          <w:pgSz w:w="11900" w:h="16838" w:orient="portrait"/>
          <w:cols w:equalWidth="0" w:num="2">
            <w:col w:w="2900" w:space="720"/>
            <w:col w:w="7660"/>
          </w:cols>
          <w:pgMar w:left="300" w:top="575"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Use of proceeds</w:t>
      </w:r>
    </w:p>
    <w:p>
      <w:pPr>
        <w:spacing w:after="0" w:line="20" w:lineRule="exact"/>
        <w:rPr>
          <w:sz w:val="20"/>
          <w:szCs w:val="20"/>
          <w:color w:val="auto"/>
        </w:rPr>
      </w:pPr>
      <w:r>
        <w:rPr>
          <w:sz w:val="20"/>
          <w:szCs w:val="20"/>
          <w:color w:val="auto"/>
        </w:rPr>
        <w:br w:type="column"/>
      </w:r>
    </w:p>
    <w:p>
      <w:pPr>
        <w:jc w:val="both"/>
        <w:spacing w:after="0" w:line="275" w:lineRule="auto"/>
        <w:rPr>
          <w:sz w:val="20"/>
          <w:szCs w:val="20"/>
          <w:color w:val="auto"/>
        </w:rPr>
      </w:pPr>
      <w:r>
        <w:rPr>
          <w:rFonts w:ascii="Times New Roman" w:cs="Times New Roman" w:eastAsia="Times New Roman" w:hAnsi="Times New Roman"/>
          <w:sz w:val="14"/>
          <w:szCs w:val="14"/>
          <w:color w:val="auto"/>
        </w:rPr>
        <w:t>We will not receive any proceeds from the resale of shares of Class A Common Stock included in this prospectus by the Selling Stockholder. We may receive up to $9,800,000 to the extent the Preferred Warrants are exercised. We intend to use any proceeds from the exercise of the Preferred Warrants for working capital and general corporate purposes. See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sectPr>
          <w:pgSz w:w="11900" w:h="16838" w:orient="portrait"/>
          <w:cols w:equalWidth="0" w:num="2">
            <w:col w:w="2900" w:space="720"/>
            <w:col w:w="7660"/>
          </w:cols>
          <w:pgMar w:left="300" w:top="575"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NASDAQ ticker symbols</w:t>
      </w:r>
    </w:p>
    <w:p>
      <w:pPr>
        <w:spacing w:after="0" w:line="20" w:lineRule="exact"/>
        <w:rPr>
          <w:sz w:val="20"/>
          <w:szCs w:val="20"/>
          <w:color w:val="auto"/>
        </w:rPr>
      </w:pPr>
      <w:r>
        <w:rPr>
          <w:sz w:val="20"/>
          <w:szCs w:val="20"/>
          <w:color w:val="auto"/>
        </w:rPr>
        <w:br w:type="column"/>
      </w:r>
    </w:p>
    <w:p>
      <w:pPr>
        <w:jc w:val="center"/>
        <w:ind w:right="2320"/>
        <w:spacing w:after="0"/>
        <w:rPr>
          <w:sz w:val="20"/>
          <w:szCs w:val="20"/>
          <w:color w:val="auto"/>
        </w:rPr>
      </w:pPr>
      <w:r>
        <w:rPr>
          <w:rFonts w:ascii="Times New Roman" w:cs="Times New Roman" w:eastAsia="Times New Roman" w:hAnsi="Times New Roman"/>
          <w:sz w:val="14"/>
          <w:szCs w:val="14"/>
          <w:color w:val="auto"/>
        </w:rPr>
        <w:t>“MOBX” and “MOBXW” for the Class A Common Stock and Public Warrants, respectively.</w:t>
      </w:r>
    </w:p>
    <w:p>
      <w:pPr>
        <w:spacing w:after="0" w:line="183" w:lineRule="exact"/>
        <w:rPr>
          <w:sz w:val="20"/>
          <w:szCs w:val="20"/>
          <w:color w:val="auto"/>
        </w:rPr>
      </w:pPr>
    </w:p>
    <w:p>
      <w:pPr>
        <w:sectPr>
          <w:pgSz w:w="11900" w:h="16838" w:orient="portrait"/>
          <w:cols w:equalWidth="0" w:num="2">
            <w:col w:w="2900" w:space="720"/>
            <w:col w:w="7660"/>
          </w:cols>
          <w:pgMar w:left="300" w:top="575" w:right="319" w:bottom="1440" w:gutter="0" w:footer="0" w:header="0"/>
          <w:type w:val="continuous"/>
        </w:sectPr>
      </w:pPr>
    </w:p>
    <w:p>
      <w:pPr>
        <w:ind w:firstLine="517"/>
        <w:spacing w:after="0" w:line="293" w:lineRule="auto"/>
        <w:rPr>
          <w:sz w:val="20"/>
          <w:szCs w:val="20"/>
          <w:color w:val="auto"/>
        </w:rPr>
      </w:pPr>
      <w:r>
        <w:rPr>
          <w:rFonts w:ascii="Times New Roman" w:cs="Times New Roman" w:eastAsia="Times New Roman" w:hAnsi="Times New Roman"/>
          <w:sz w:val="14"/>
          <w:szCs w:val="14"/>
          <w:color w:val="auto"/>
        </w:rPr>
        <w:t>The number of shares of Class A Common Stock outstanding is based on 23,576,570 shares of Class A Common Stock as of October 14, 2026 and excludes, in addition to the shares issuable upon conversion of the Preferred Shares, the following, in each case as of October 14, 2026, except as otherwise noted:</w:t>
      </w:r>
    </w:p>
    <w:p>
      <w:pPr>
        <w:spacing w:after="0" w:line="123" w:lineRule="exact"/>
        <w:rPr>
          <w:sz w:val="20"/>
          <w:szCs w:val="20"/>
          <w:color w:val="auto"/>
        </w:rPr>
      </w:pPr>
    </w:p>
    <w:p>
      <w:pPr>
        <w:ind w:left="1040" w:hanging="517"/>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200,397 shares of Class A Common Stock issuable upon the exercise of outstanding options under the Legacy Mobix equity plans that were assumed in the Merger;</w:t>
      </w:r>
    </w:p>
    <w:p>
      <w:pPr>
        <w:spacing w:after="0" w:line="24"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244,621 shares of Class A Common Stock issuable upon settlement of outstanding restricted stock units;</w:t>
      </w:r>
    </w:p>
    <w:p>
      <w:pPr>
        <w:spacing w:after="0" w:line="11"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120,959 shares of Class A Common Stock reserved for future issuance under the 2023 Equity Incentive Plan and 68,705 shares of Class A Common Stock reserved for future issuance under the 2023 Employee Stock Purchase Plan;</w:t>
      </w:r>
    </w:p>
    <w:p>
      <w:pPr>
        <w:ind w:left="1040" w:hanging="517"/>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2,589,874 shares of Class A Common Stock issuable upon exercise of outstanding warrants at exercise prices ranging from $0.10 to $57.90;</w:t>
      </w:r>
    </w:p>
    <w:p>
      <w:pPr>
        <w:spacing w:after="0" w:line="11"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350,000 shares of Class A Common Stock issuable as earnout shares to certain Legacy Mobix stockholders and option holders based on the achievement of trading price targets during the seven-year earnout period; and</w:t>
      </w:r>
    </w:p>
    <w:p>
      <w:pPr>
        <w:ind w:left="1040" w:hanging="517"/>
        <w:spacing w:after="0"/>
        <w:tabs>
          <w:tab w:leader="none" w:pos="10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7,298,650 shares of Class A Common Stock underlying outstanding convertible promissory notes.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3"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i w:val="1"/>
          <w:iCs w:val="1"/>
          <w:color w:val="auto"/>
        </w:rPr>
        <w:t>Investing in our securities involves risks. Before you make a decision to buy our securities, in addition to the risks and uncertainties discussed above under the section titled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are not the only risks and uncertainties that we face. Additional risks and uncertainties not presently known to us or that we currently believe to be immaterial may become material and adversely affect our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an early-stage company, and it remains difficult to evaluate our future prospects and the risks and challenges we may encounter.</w:t>
      </w:r>
    </w:p>
    <w:p>
      <w:pPr>
        <w:spacing w:after="0" w:line="187"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Since our inception in 2020, we have invested a significant amount of time and expense into the design and development of technology for our current and anticipated future products, including mmWave wireless technology. We have also grown through acquisitions of other businesses, including our fiscal year 2024 acquisitions of RaGE Systems and EMI Solutions, which expanded our operations to the aerospace, military, defense, medical and other markets. However, it remains difficult to evaluate our future prospects and the risks and challenges we may encounter. Risks and challenges we have faced or expect to face include, but are not limited to, our ability to:</w:t>
      </w:r>
    </w:p>
    <w:p>
      <w:pPr>
        <w:spacing w:after="0" w:line="142" w:lineRule="exact"/>
        <w:rPr>
          <w:sz w:val="20"/>
          <w:szCs w:val="20"/>
          <w:color w:val="auto"/>
        </w:rPr>
      </w:pPr>
    </w:p>
    <w:p>
      <w:pPr>
        <w:ind w:left="1040" w:hanging="517"/>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develop and commercialize new products;</w:t>
      </w:r>
    </w:p>
    <w:p>
      <w:pPr>
        <w:spacing w:after="0" w:line="24"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sustain and grow sales of our existing products;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 our growth strategies including through mergers and acquisitions;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forecast our revenue and budget for and manage our expenses;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raise additional capital on acceptable terms to execute our business plan;</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as a going concern;</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new customers, retain existing customers and expand existing commercial relationships;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compete successfully in the highly competitive industries in which we operate;</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 for and manage capital expenditures for our current and future products, and manage our supply chain and supplier relationships related to our current and future products;</w:t>
      </w:r>
    </w:p>
    <w:p>
      <w:pPr>
        <w:spacing w:after="0" w:line="11"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existing and new or modified laws and regulations applicable to our business in and outside the United States, including compliance requirements of U.S. customs and export regulations;</w:t>
      </w:r>
    </w:p>
    <w:p>
      <w:pPr>
        <w:ind w:left="1040" w:hanging="517"/>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 and respond to macroeconomic changes and changes in the markets in which we operate;</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enhance the value of our reputation and brand;</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manage our growth and business operations;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protect intellectual property;</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and enhance the security of our IT system;</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integrate and retain talented people at all levels of our organization;</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defend our company in any legal proceeding that may arise and enforce our rights in any legal proceedings we may initiate; and</w:t>
      </w:r>
    </w:p>
    <w:p>
      <w:pPr>
        <w:spacing w:after="0" w:line="11" w:lineRule="exact"/>
        <w:rPr>
          <w:rFonts w:ascii="Times New Roman" w:cs="Times New Roman" w:eastAsia="Times New Roman" w:hAnsi="Times New Roman"/>
          <w:sz w:val="14"/>
          <w:szCs w:val="14"/>
          <w:color w:val="auto"/>
        </w:rPr>
      </w:pPr>
    </w:p>
    <w:p>
      <w:pPr>
        <w:ind w:left="1040" w:hanging="517"/>
        <w:spacing w:after="0" w:line="273" w:lineRule="auto"/>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and mitigate the adverse effects on our business of any public health emergencies, natural disasters, widespread travel disruptions, security risks including IT security, data privacy, cyber risks, international conflicts, geopolitical tension and other events beyond our control.</w:t>
      </w:r>
    </w:p>
    <w:p>
      <w:pPr>
        <w:spacing w:after="0" w:line="135"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color w:val="auto"/>
        </w:rPr>
        <w:t>If we fail to address the risks and difficulties that we face, including those associated with the challenges listed above as well as those described elsewhere in this “</w:t>
      </w:r>
      <w:r>
        <w:rPr>
          <w:rFonts w:ascii="Times New Roman" w:cs="Times New Roman" w:eastAsia="Times New Roman" w:hAnsi="Times New Roman"/>
          <w:sz w:val="14"/>
          <w:szCs w:val="14"/>
          <w:i w:val="1"/>
          <w:iCs w:val="1"/>
          <w:color w:val="auto"/>
        </w:rPr>
        <w:t>Risks Related to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Business and Industry</w:t>
      </w:r>
      <w:r>
        <w:rPr>
          <w:rFonts w:ascii="Times New Roman" w:cs="Times New Roman" w:eastAsia="Times New Roman" w:hAnsi="Times New Roman"/>
          <w:sz w:val="14"/>
          <w:szCs w:val="14"/>
          <w:color w:val="auto"/>
        </w:rPr>
        <w:t>” section, our business, financial condition, and results of operations could be adversely affected. Moreover, as we have limited historical financial data and operate in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rapidly evolving and highly competitive market, any predictions about our future revenue and expenses may not be as accurate as they would be if we had a longer operating history or operated in a more predictable market.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predict whether we will succeed in maintaining revenue growth, or when we will be able to generate income from operations.</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cannot predict whether we will succeed in maintaining revenue growth or when we will be able to generate income from operations. Our revenue has been, and may continue to be, adversely impacted if we are unable to obtain sufficient finished goods to fill customer orders and to maintain or increase our profit margins due to manufacturing limitations, replacement costs, and our capital constraints.</w:t>
      </w:r>
    </w:p>
    <w:p>
      <w:pPr>
        <w:spacing w:after="0" w:line="13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have incurred losses in the operation of our business and anticipate that our expenses will increase, potentially leading to continued losses from operations in the near future. Moreover, we may not be able to achieve or generate sufficient income from operations to sustain ourselves.</w:t>
      </w:r>
    </w:p>
    <w:p>
      <w:pPr>
        <w:spacing w:after="0" w:line="119"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Since inception, we have incurred operating losses and negative cash flows, primarily due to our ongoing investment in product development. For the fiscal years ended September 30, 2025 and 2024, we incurred losses from operations of $37.7 million and $46.4 million, respectively. For the nine months ended June 30, 2026 and 2025, we incurred losses from operations of $22.3 million and $30.5 million, respectively. As of June 30, 2026, we had an accumulated deficit of $183.4 million. Since then, we have continued to incur losses from operations, and we expect this trend to persist, along with negative cash flows from operations, for the foreseeable future.</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In addition, we may not achieve or generate sufficient income from operations to sustain ourselves. We may incur substantial losses for reasons, including changes in demand for our products, increasing competition, challenging macroeconomic conditions, regulatory changes and other risks discussed herein.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assure you that we will achieve or maintain profitability or that we will be able to continue as a going concern.</w:t>
      </w:r>
    </w:p>
    <w:p>
      <w:pPr>
        <w:spacing w:after="0" w:line="187"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We believe that there is substantial doubt concerning our ability to continue as a going concern as we currently do not have adequate liquidity to meet our operating needs and satisfy our obligations for at least the next twelve months. We will need to raise additional working capital to continue our normal and planned operations. We will need to generate and sustain significant revenue levels in future periods in order to become profitable, and, even if we do, we may not be able to maintain or increase our level of profitability. In addition, as a public company, we will continue to incur increased accounting, legal, and other expenses which make it necessary for us to continue to raise additional working capital. Our efforts to grow our business may be costlier than expected, and we may not be able to generate sufficient revenue to offset our increased operating expenses. We may incur significant losses in the future for a number of reasons, including unforeseen expenses, difficulties, complications, delays, and other unknown events. Accordingly, substantial doubt exists about our ability to continue as a going concern, and we cannot assure you that we will achieve sustainable operating profits as we continue to expand our business and otherwise implement our growth initiatives and strategies.</w:t>
      </w:r>
    </w:p>
    <w:p>
      <w:pPr>
        <w:spacing w:after="0" w:line="14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The financial statements included in this prospectus have been prepared on a going concern basis. We may not be able to generate profitable operations in the future and/or obtain the necessary financing to meet our obligations and pay liabilities arising from normal business operations when they come due. The outcome of these matters cannot be predicted with any certainty at this time. These factors raise substantial doubt that we will be able to continue as a going concern. We plan to continue to provide for our capital needs through sales of our securities, issuance of debt, and/or related party advances. Our financial statements do not include any adjustments to the amounts and classification of assets and liabilities that may be necessary should we be unable to continue as a going concern.</w:t>
      </w:r>
    </w:p>
    <w:p>
      <w:pPr>
        <w:spacing w:after="0" w:line="14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will need to raise additional capital in the future to fund our operations and execute our business plan, which may not be available on terms acceptable to us, or at all. Any fundraising involving the sale and issuance of equity securities can substantially dilute existing stockholders.</w:t>
      </w:r>
    </w:p>
    <w:p>
      <w:pPr>
        <w:spacing w:after="0" w:line="119"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In the future, we will require additional capital to respond to technological advancements, competitive dynamics, customer demands, business opportunities, challenges, acquisitions, or unforeseen circumstances. We may determine to engage in equity or debt financings or enter into credit facilities for other reasons. In order to further business relationships with current or potential customers or partners, we may also issue equity or equity-linked securities to current or potential customers or partners.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If we are unable to obtain adequate financing or financing on terms satisfactory to us, when we require it, our ability to continue to grow or support our business and to respond to business challenges could be significantly limited.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entered into a definitive agreement to acquire Special Project Delivery, Inc. and such acquisition is subject to significant uncertainty and may require additional dilutive financing.</w:t>
      </w:r>
    </w:p>
    <w:p>
      <w:pPr>
        <w:spacing w:after="0" w:line="187"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On August 13, 2026, we entered into a definitive merger agreement to acquire Special Project Delivery, Inc. for 4,800,000 shares of our Class A Common Stock. The closing of the proposed transaction is subject to the completion of due diligence and the satisfaction of customary closing conditions. There is no assurance that the proposed acquisition will be completed. If we complete the proposed acquisition, we expect to fund the cash portion of the consideration through additional debt or equity financing, which may not be available on acceptable terms, or at all, and which may be dilutive to our stockholders, and we may issue shares of Class A Common Stock as part of the consideration, which would further dilute our existing stockholders. In addition, acquisitions involve numerous risks, including difficulties integrating the acquired business, the assumption of unknown liabilities and the diversion of management attention, any of which could adversely affect our business, financial condition and results of operations.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i w:val="1"/>
          <w:iCs w:val="1"/>
          <w:color w:val="auto"/>
        </w:rPr>
        <w:t>Our expansion into new lines of business under our NSM Initiative, including through acquisitions, may not be successful and could strain our financial and management resources.</w:t>
      </w:r>
    </w:p>
    <w:p>
      <w:pPr>
        <w:spacing w:after="0" w:line="18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In furtherance of our NSM Initiative, we have entered into a definitive agreement to acquire Special Project Delivery, Inc., and we expect to pursue additional acquisitions in markets that are new to us, such as unmanned aerial systems and critical minerals. We may fail to complete announced transactions, and any transaction we do complete may not achieve the anticipated benefits. Acquisitions will place substantial demands on our management, may require additional capital that may not be available on acceptable terms or at all, may result in substantial dilution to existing stockholders, and expose us to integration, regulatory and, in certain cases, related-party transaction risks. If we are unable to manage this expansion effectively, our business, financial condition and results of operations could be materially and adversely affected.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terms of our Series A Preferred Stock and outstanding convertible notes impose significant restrictions on our operations and our ability to raise capital.</w:t>
      </w:r>
    </w:p>
    <w:p>
      <w:pPr>
        <w:spacing w:after="0" w:line="187"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The terms of our Series A Preferred Stock and our convertible notes contain a number of restrictive covenants and protective provisions that may impose significant operating and financial restrictions on us while those securities remain outstanding. These restrictions generally cannot be waived without the prior written consent of the applicable holders. Among other things, these instruments restrict our ability to incur senior or other indebtedness, to issue or create securities senior to or on parity with the applicable security, to pay dividends on or repurchase our common stock and other junior securities, to enter into certain affiliate transactions, to change the nature of our business, to amend our charter documents in a manner adverse to the holders, and to consummate mergers, asset sales, and other fundamental transactions. Certain of our convertible notes are further secured by a lien on our assets and rank senior in right of payment to our existing and future indebtedness, which would subordinate other creditors and equity holders and could limit our ability to obtain additional secured financing. As a result of these restrictions, we may be limited in how we conduct our business, unable to finance our operations through additional debt or equity financings, and/or unable to compete effectively or to take advantage of new business opportunities.</w:t>
      </w:r>
    </w:p>
    <w:p>
      <w:pPr>
        <w:spacing w:after="0" w:line="319"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In addition, both securities require us to apply proceeds from certain future financings and asset sales to repay or redeem the applicable security, in some cases before we may use those proceeds for any other purpose. These mandatory repayment and proceeds-application requirements could further constrain our liquidity and our ability to fund our operations. These protective provisions may also restrict our ability to raise additional capital, restructure our capital stock, pursue strategic transactions, or otherwise respond to changing market conditions in a timely manner. The interests of the holders of the Series A Preferred Stock and the convertible notes may differ from those of holders of our Class A Common Stock, and the exercise of these rights could result in outcomes that are less favorable to Class A Common Stockholders.</w:t>
      </w:r>
    </w:p>
    <w:p>
      <w:pPr>
        <w:spacing w:after="0" w:line="14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may be required, under certain circumstances, to redeem or repay the outstanding Series A Preferred Stock and our outstanding convertible notes for cash, at a premium, and to pay additional penalties and default interest, and such obligations could adversely affect our liquidity and financial condition.</w:t>
      </w:r>
    </w:p>
    <w:p>
      <w:pPr>
        <w:spacing w:after="0" w:line="119"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Upon the occurrence of specified triggering events or events of default, each holder of our Series A Preferred Stock and our convertible notes has the right to require us to redeem or repay all or any portion of the applicable security for cash. These events include, among others, a failure to timely deliver shares of common stock upon conversion, a breach of the applicable covenants, a delisting of our common stock, and certain bankruptcy, judgment, and cessation-of-operations events, as well as a change of control or other fundamental transaction in the case of the Series A Preferred Stock. Upon such an event and a holder’s election, we may be required to redeem or repay the affected security at a redemption or repayment price that represents a premium to its stated value or outstanding balance or, in the case of the Series A Preferred Stock, if greater, its value on an as-converted basis, together with accrued and unpaid dividends or interest and other amounts then due. In the case of the convertible notes, following an event of default the amounts we owe increase to a specified premium over the outstanding obligations, and default interest accrues on those amounts.</w:t>
      </w:r>
    </w:p>
    <w:p>
      <w:pPr>
        <w:spacing w:after="0" w:line="14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We are generally required to pay amounts due upon such an event within a short period after demand, and a failure to make timely payment would result in additional penalties and default interest. These penalty, dividend, interest, and redemption or repayment obligations could significantly impact our liquidity and reduce the amount of our cash flows that are available for working capital, capital expenditures, growth opportunities, acquisitions, and other general corporate purposes. Our obligations to these holders could also limit our ability to obtain additional financing or increase our borrowing costs, which could have an adverse effect on our financial condition. The preferential and security rights described above could also result in divergent interests between these holders and the holders of our common stock.</w:t>
      </w:r>
    </w:p>
    <w:p>
      <w:pPr>
        <w:spacing w:after="0" w:line="14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do not currently have sufficient cash on hand to fund a redemption or repayment of the Series A Preferred Stock and the convertible notes if we are required to do so. If we are required to redeem or repay these securities and are unable to do so, or if we otherwise fail to satisfy our payment obligations, we would incur additional penalties and default interest, the holder of the note could exercise remedies against the assets securing the note, and our liquidity, financial condition, and ability to continue our operations would be materially and adversely affected.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fail to successfully acquire or integrate new businesses, products, and technology, and we may not realize expected benefits, resulting in harm to the business.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intend to continue growing our businesses, including through the acquisition of complementary businesses, products, or technologies rather than through internal development.</w:t>
      </w:r>
    </w:p>
    <w:p>
      <w:pPr>
        <w:spacing w:after="0" w:line="183"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Identifying suitable acquisition candidates can be difficult, time-consuming, and costly, and we may not be able to identify suitable candidates or successfully complete identified acquisitions. In addition, completing an acquisition could divert our management and key personnel from our business operations, which could harm the business and affect financial results. Even if we complete an acquisition, we may not be able to successfully integrate newly acquired organizations, products, technologies, or employees into our operations or may not fully realize some of the expected synergies. An acquired company may have deficiencies in product quality, regulatory marketing authorizations or certifications, or intellectual property protections, which are not detected during due diligence activities or which are unasserted at the time of acquisition. It may be difficult, expensive, and time-consuming for us to re-establish market access, regulatory compliance, or cure such deficiencies in product quality or intellectual property protection in such cases, which may have a material adverse impact on our business, financial condition, or results of operations.</w:t>
      </w:r>
    </w:p>
    <w:p>
      <w:pPr>
        <w:spacing w:after="0" w:line="31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our customers are unable to achieve widespread market acceptance of their products which incorporate our products, we may not be able to generate the revenue necessary to support our business.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factors, among others, may affect the level of market acceptance of our products:</w:t>
      </w:r>
    </w:p>
    <w:p>
      <w:pPr>
        <w:spacing w:after="0" w:line="183" w:lineRule="exact"/>
        <w:rPr>
          <w:sz w:val="20"/>
          <w:szCs w:val="20"/>
          <w:color w:val="auto"/>
        </w:rPr>
      </w:pPr>
    </w:p>
    <w:p>
      <w:pPr>
        <w:ind w:left="1040" w:hanging="517"/>
        <w:spacing w:after="0"/>
        <w:tabs>
          <w:tab w:leader="none" w:pos="1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our customers’ products;</w:t>
      </w:r>
    </w:p>
    <w:p>
      <w:pPr>
        <w:spacing w:after="0" w:line="24"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or user perceptions of the convenience, safety, efficiency and benefits of our products;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sales and marketing efforts of our independent sales representative organizations and distributors;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support and rate of acceptance of our products and solutions;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we are unable to achieve or maintain market acceptance of our products, and if our products do not win widespread market acceptance, our business may be significantly harmed.</w:t>
      </w:r>
    </w:p>
    <w:p>
      <w:pPr>
        <w:spacing w:after="0" w:line="179"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customers generally require our products to undergo a lengthy qualification process, which does not assure product sales. If we are unsuccessful or delayed in qualifying these products with a customer, our business and operating results may suffer.</w:t>
      </w:r>
    </w:p>
    <w:p>
      <w:pPr>
        <w:spacing w:after="0" w:line="119"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Prior to purchasing our products, our customers generally require that our products and solutions undergo extensive qualification processes, which involve testing of the products and solutions. This qualification process can take several months, and qualification of a product by a customer does not assure any sales of the product to that customer. If we are unsuccessful or delayed in qualifying these products with a customer, our business and operating results may suffer.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Markets for our mmWave wireless semiconductor products are still developing and may not develop at the speed and scale as expected.</w:t>
      </w:r>
    </w:p>
    <w:p>
      <w:pPr>
        <w:spacing w:after="0" w:line="187"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The markets for products designed for mmWave wireless communication are relatively new and still developing, which makes our business and future prospects difficult to evaluate, and thus the estimates and forecasts of total addressable market and serviceable addressable market are subject to significant uncertainty. We and our customers are pursuing opportunities in markets that are undergoing rapid changes, including technological and regulatory changes, and it is difficult to predict the timing and size of the opportunities. Many of the wireless and wired applications we and our customers are working towards commercializing require complex technology and are subject to uncertainties with respect to, among other things, the heavy capital investment required to commercialize those applications, the competitive landscape, the rate of consumer acceptance and the impact of current or future regulations. Regulatory, safety or reliability developments, many of which are outside of our and our customers’ control, could also cause delays or otherwise impair commercial adoption of new technologies and solutions, which may adversely affect our growth.</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16" w:name="page17"/>
    <w:bookmarkEnd w:id="16"/>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As we develop mmWave wireless semiconductor products, we face the risk that potential customers may not value or be willing to bear the cost of incorporating our products into their product offerings, particularly if they believe their customers are satisfied with prior offerings. If we are unable to sell mmWave semiconductor products we seek to develop, and subsequent generations of such products, the growth prospects of our mmWave wireless semiconductor products would be negatively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execute our growth strategies effectively, our business may be materially and adversely affected.</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may not be able to scale our business quickly enough to meet customer and market demand, which could result in lower profitability or cause us to fail to execute on our business strategies. In order to grow our business, we will need to continue to evolve and scale our business and operations to meet customer and market demand. Evolving and scaling our business and operations places increased demands on our management as well as our financial and operational resources to:</w:t>
      </w:r>
    </w:p>
    <w:p>
      <w:pPr>
        <w:spacing w:after="0" w:line="135" w:lineRule="exact"/>
        <w:rPr>
          <w:sz w:val="20"/>
          <w:szCs w:val="20"/>
          <w:color w:val="auto"/>
        </w:rPr>
      </w:pPr>
    </w:p>
    <w:p>
      <w:pPr>
        <w:ind w:left="1040" w:hanging="517"/>
        <w:spacing w:after="0"/>
        <w:tabs>
          <w:tab w:leader="none" w:pos="10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new customers and grow our customer base;</w:t>
      </w:r>
    </w:p>
    <w:p>
      <w:pPr>
        <w:spacing w:after="0" w:line="24"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additional products and services to our existing customers;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 in our technology and product offerings;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manage organizational change;</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accelerate and/or refocus research and development activities;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sales and marketing efforts;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broaden customer support and services capabilities;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or increase operational efficiencies;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appropriate operational and financial systems; and</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effective financial disclosure, controls and procedures.</w:t>
      </w:r>
    </w:p>
    <w:p>
      <w:pPr>
        <w:spacing w:after="0" w:line="170"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If we cannot evolve and scale our business and operations effectively, we may not be able to execute our business strategies in a cost-effective manner, and our business, financial condition, profitability and results of operations could be adversely affected.</w:t>
      </w:r>
    </w:p>
    <w:p>
      <w:pPr>
        <w:spacing w:after="0" w:line="119"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The markets for our semiconductor products and solutions are highly competitive, and some market participants have substantially greater resources. We compete against both established competitors and new market entrants with respect to, among other things, cost, technology, and engineering resources.</w:t>
      </w:r>
    </w:p>
    <w:p>
      <w:pPr>
        <w:spacing w:after="0" w:line="119"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The markets for semiconductor products and solutions are highly competitive. Our future success in commercializing any semiconductor products and solutions we develop will depend on whether we can deliver the technology, products, and solutions solving our target customers’ engineering challenges and continue to develop semiconductor products and solutions in a timely manner. Additionally, it will depend on whether we can successfully compete with existing and new competitors. Some of our competitors have longer operating histories, greater name recognition, more established customer bases, and significantly greater financial, technical, research and development, marketing, and other resources than we do. In some cases, our competitors may be better positioned to initiate or withstand substantial price competition. If we are not able to maintain favorable pricing for our products and solutions, our profit margin and profitability could suffer. Certain competitors may be better positioned to acquire competitive solutions and take advantage of acquisition or other similar expansion opportunities. Increased competition may result in pricing pressure and reduced margins, impeding our ability to increase the sales of our products or causing us to lose market share. Any of these outcomes will adversely affect our business, results of operations, and financial condition.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interconnect products are also subject to intense competition.</w:t>
      </w:r>
    </w:p>
    <w:p>
      <w:pPr>
        <w:spacing w:after="0" w:line="187"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4"/>
          <w:szCs w:val="14"/>
          <w:color w:val="auto"/>
        </w:rPr>
        <w:t>The markets for our interconnect products and solutions are competitive and fragmented and are subject to changing technology and shifting customer needs. A number of vendors produce and market products and services that compete to varying extents with our offerings, both in terms of performance and price. We expect this competition to continue and intensify. Moreover, changes affecting the markets for our interconnect products could increase the chances that we will face competition from new products or service offerings from both existing and new competitors.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will greatly depend on our ability to successfully introduce new products and solutions for our markets that meet the needs of our customers.</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Our future success will depend on our ability to introduce new products and improve and enhance our existing products. In furtherance of these efforts, we expect to invest significantly in ongoing research and development. If we do not adequately fund our research and development efforts, or if our investments in research and development do not translate into material enhancements to our products, we may not be able to compete effectively, and our business, results of operations, and financial condition may be harmed.</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Furthermore, given the rapidly evolving nature of the markets in which we compete, our products and technology could be rendered obsolete by alternative or competing technologies. The markets in which we operate are characterized by changing technology and evolving industry standards. We may not be successful in identifying, developing, and marketing products or systems that respond to rapid technological change, evolving technical standards, and systems developed by others. If we do not continue to develop, manufacture, and market innovative technologies or applications that meet customers’ requirements, sales may suffer, and our growth prospects may be harmed.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consolidation of our customers may adversely affect our financial results.</w:t>
      </w:r>
    </w:p>
    <w:p>
      <w:pPr>
        <w:spacing w:after="0" w:line="187"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Our industry is characterized by the high costs associated with developing marketable semiconductor products and solutions as well as high levels of investment in production capabilities. As a result, the semiconductor industry and the markets we serve have experienced, and may continue to experience, consolidation among our competitors or customers. Larger competitors resulting from consolidations may have certain advantages over us, including, but not limited to, substantially greater financial and other resources with which to withstand adverse economic or market conditions and pursue development, engineering, manufacturing, marketing, and distribution of their products; longer operating histories; presence in key markets; patent protection; and greater name recognition. In addition, we may be at a competitive disadvantage to our peers if we fail to identify attractive opportunities to acquire companies to expand our business. Consolidation among our competitors or customers could erode our market share, negatively impact our capacity to compete and require us to restructure our operations, any of which could have a material adverse effect on our business.</w:t>
      </w:r>
    </w:p>
    <w:p>
      <w:pPr>
        <w:spacing w:after="0" w:line="31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generate a substantial portion of our revenues from one customer and expect that we will generate revenue from a limited number of customers in the near future; and the loss of any key customer could have a material adverse effect on our business.</w:t>
      </w:r>
    </w:p>
    <w:p>
      <w:pPr>
        <w:spacing w:after="0" w:line="119"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Our primary customers are organizations that sell product solutions for defense, aerospace, commercial, industrial and other applications. We have also engaged with several OEMs and ODMs in an effort to secure them as customers for our mmWave ICs when the products are available for sale. If they do purchase our mmWave ICs, we expect them to purchase these products on a purchase order basis when we complete development and commence sales, which is customary in the semiconductor industry.</w:t>
      </w:r>
    </w:p>
    <w:p>
      <w:pPr>
        <w:spacing w:after="0" w:line="13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For the year ended September 30, 2025, sales to Leidos Holdings, Inc. accounted for approximately 50% of our net revenues and no other customer accounted for 10% or more of our net revenues. The loss of this customer would have a material adverse impact on our results of operations and financial condition.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18" w:name="page19"/>
    <w:bookmarkEnd w:id="18"/>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generally do not obtain long-term purchase commitments, and although most of our customer orders are non-cancellable, some customers may choose to unilaterally cancel their purchase order which may adversely impact our revenue and operating results.</w:t>
      </w:r>
    </w:p>
    <w:p>
      <w:pPr>
        <w:spacing w:after="0" w:line="119"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With limited exceptions, we generally do not obtain long-term commitments with our customers. While a majority of our customers are not permitted to cancel their product orders, in some cases, customers may unilaterally cancel their orders, which may adversely impact our revenue and operating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Defects in our products or poor design and engineering solutions could result in lost sales and subject us to substantial liability.</w:t>
      </w:r>
    </w:p>
    <w:p>
      <w:pPr>
        <w:spacing w:after="0" w:line="187" w:lineRule="exact"/>
        <w:rPr>
          <w:sz w:val="20"/>
          <w:szCs w:val="20"/>
          <w:color w:val="auto"/>
        </w:rPr>
      </w:pPr>
    </w:p>
    <w:p>
      <w:pPr>
        <w:jc w:val="both"/>
        <w:ind w:firstLine="517"/>
        <w:spacing w:after="0" w:line="259" w:lineRule="auto"/>
        <w:rPr>
          <w:sz w:val="20"/>
          <w:szCs w:val="20"/>
          <w:color w:val="auto"/>
        </w:rPr>
      </w:pPr>
      <w:r>
        <w:rPr>
          <w:rFonts w:ascii="Times New Roman" w:cs="Times New Roman" w:eastAsia="Times New Roman" w:hAnsi="Times New Roman"/>
          <w:sz w:val="14"/>
          <w:szCs w:val="14"/>
          <w:color w:val="auto"/>
        </w:rPr>
        <w:t>If our products perform poorly, whether due to design, engineering, or other reasons, we could lose sales. In certain cases, if our products are found to be the component that leads to failure or a failure to meet the performance specifications of our customer, we could be required to pay monetary damages to our customer. A defect in any of our products could give rise to significant costs, including expenses relating to recalling the products, replacing defective items and writing down defective inventory as well as lead to the loss of potential sales. In addition, the occurrence of such defects may give rise to product liability claims, including liability for damages caused by such defects if our semiconductors or the consumer products based on them malfunction and result in personal injury or death. Such claims could result in significant costs and expenses relating to damages and attorneys’ fees. Moreover, since the cost of replacing defective semiconductor devices is often much higher than the value of the devices themselves, we may at times face damage claims from customers that are in excess of the amounts paid to us for products, including consequential damages. We may even be named in product liability claims where there is no evidence that our products caused the damage in question. We maintain insurance to protect against certain types of claims associated with the use of our products, but our insurance coverage may not adequately cover any such claims. In addition, even claims that ultimately are unsuccessful could result in expenditures of funds in connection with litigation and divert management’s time and other resources. We also may incur costs and expenses relating to a recall of one or more of our products. In addition, our products could be subject to recalls directly or indirectly through the recall of products of our customers in which our products may be embedded. The process of identifying recalled products that have been widely distributed may be lengthy and require significant resources, and we may incur significant replacement costs, contract damage claims from our customers, and significant harm to our reputation. The occurrence of these problems could result in the delay or loss of market acceptance of our products and could adversely affect our business, operating results, and financial condition.</w:t>
      </w:r>
    </w:p>
    <w:p>
      <w:pPr>
        <w:spacing w:after="0" w:line="32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depend on third-party suppliers for many of the components used in our products, and in the event of a disruption in our supply chain, any efforts to develop alternative supply sources may take longer to take effect than anticipated.</w:t>
      </w:r>
    </w:p>
    <w:p>
      <w:pPr>
        <w:spacing w:after="0" w:line="119"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We currently rely on third party suppliers, including suppliers outside the United States, for many of the components and materials used in our products. We cannot be sure that these suppliers will remain in business. Our reliance on offshore suppliers subjects us to a number of risks that include, among other things:</w:t>
      </w:r>
    </w:p>
    <w:p>
      <w:pPr>
        <w:spacing w:after="0" w:line="123" w:lineRule="exact"/>
        <w:rPr>
          <w:sz w:val="20"/>
          <w:szCs w:val="20"/>
          <w:color w:val="auto"/>
        </w:rPr>
      </w:pPr>
    </w:p>
    <w:p>
      <w:pPr>
        <w:ind w:left="1040" w:hanging="517"/>
        <w:spacing w:after="0" w:line="266" w:lineRule="auto"/>
        <w:tabs>
          <w:tab w:leader="none" w:pos="1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shortages, delivery delays and potential discontinuation of supply as a result of any recurrence of pandemics such as COVID-19, or other reasons outside of our control;</w:t>
      </w:r>
    </w:p>
    <w:p>
      <w:pPr>
        <w:spacing w:after="0" w:line="179"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legal and economic changes, crises or instability and civil unrest in the jurisdictions where our manufacturers’ plants are located, such as changes in China-Taiwan relations that may adversely affect our manufacturers’ operations in Taiwan;</w:t>
      </w:r>
    </w:p>
    <w:p>
      <w:pPr>
        <w:ind w:left="1040" w:hanging="517"/>
        <w:spacing w:after="0"/>
        <w:tabs>
          <w:tab w:leader="none" w:pos="1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conversion risks and exchange rate fluctuations; and</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requirements of U.S. customs and international trade regulations.</w:t>
      </w:r>
    </w:p>
    <w:p>
      <w:pPr>
        <w:spacing w:after="0" w:line="170"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Our reliance on U.S. and non-U.S. suppliers to secure parts, components and sub-systems used in our products also exposes us to volatility in the prices and availability of these materials and services. In some instances, we depend upon a single source of supply, manufacturing, services support or assembly or we may be subject to specific procurement requirements that limit the types of materials we use, which may further limit the suppliers and subcontractors we may utilize. Although the components and materials we require may be available from other suppliers, any attempt to transition our supply arrangement to one or more other suppliers could entail expense and could lead to delays in production. If we are unable to arrange for sufficient supply of the components and materials we require, we may encounter difficulty in meeting customer requirements or increases in our operating costs which could have a material adverse effect on our competitive position, results of operations, cash flows or financial condition.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i w:val="1"/>
          <w:iCs w:val="1"/>
          <w:color w:val="auto"/>
        </w:rPr>
        <w:t>Inflation and unfavorable global economic conditions could adversely affect our business, financial condition or results of operations.</w:t>
      </w:r>
    </w:p>
    <w:p>
      <w:pPr>
        <w:spacing w:after="0" w:line="187"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Our results of operations could be adversely affected by general conditions in the global economy and in the global financial markets, including conditions that are outside of our control, such as the impact of health and safety concerns, recent and ongoing price inflation in the United States, foreign and domestic government sanctions, and other disruptions to global supply chains. A severe or prolonged economic downturn, whether due to inflationary pressures or otherwise, could result in a variety of risks to our business, including weakened demand for our products, or the inability to raise additional capital when needed on acceptable terms, or at all. A weak or declining economy could strain our suppliers, possibly resulting in supply disruption, or cause delays in payments for our products by our customers. Any of the foregoing could harm our business and we cannot anticipate all the ways in which the current economic climate and financial market conditions could adversely impact us. If inflation increases, we may not be able to adjust prices sufficiently to offset the effect without negatively impacting our gross margin.</w:t>
      </w:r>
    </w:p>
    <w:p>
      <w:pPr>
        <w:spacing w:after="0" w:line="14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Furthermore, sustained uncertainty about, or worsening of, geopolitical tensions could result in a global economic slowdown and long-term changes to global trade. Any or all of these factors could negatively affect our business, results of operations, financial condition and growth.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manage expected growth in the scale and complexity of our operations, our performance may suffer.</w:t>
      </w:r>
    </w:p>
    <w:p>
      <w:pPr>
        <w:spacing w:after="0" w:line="18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the commercialization of any of our products. Future growth would impose significant added responsibilities on members of our management. Our management, finance, development personnel, systems, and facilities currently in place may not be adequate to support this future growth. We need to effectively manage our operations, growth, and controls, and we continue to develop more robust business processes and improve our systems and procedures in each of these areas and to attract and retain enough numbers of talented employees. We may be unable to successfully implement these tasks on a larger scale, and, accordingly, may not achieve our growth goals.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comply with the laws and regulations to which we are subject could have a material adverse effect on our business, prospects, financial condition and results of operations.</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Our technology and products are subject to export control and import laws and regulations. The failure to comply with any applicable regulations or requirements could subject us to investigations, sanctions, enforcement actions, fines, damages, civil or criminal penalties, or injunctions. Complying with import/export control and sanctions regulations may limit where, and with whom, we may do business. In addition, responding to any action will likely result in a significant diversion of management’s attention and financial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to trade policy, tariffs and import/export regulations may have a material adverse effect on our business, financial condition and results of operations.</w:t>
      </w:r>
    </w:p>
    <w:p>
      <w:pPr>
        <w:spacing w:after="0" w:line="187"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Changes in global political, regulatory, and economic conditions or in laws and policies governing foreign trade, manufacturing, development, and investment in the territories or countries where we may purchase, manufacture, or sell our products or conduct our business could adversely affect our business. In recent years, the United States has instituted or proposed changes in trade policies that include export control restrictions, the negotiation or termination of trade agreements, the imposition of higher tariffs on imports into the United States, increased economic sanctions on individuals, corporations, or countries, and other government regulations affecting trade between the United States and other countries where we conduct our business or plan to conduct business. A number of other nations have proposed or instituted similar measures directed at trade with the United States in response. As a result of these developments, there may be greater restrictions and economic disincentives on international trade that could adversely affect our business. It may be time-consuming and expensive for us to alter our business operations to adapt to or comply with any such changes, and any failure to do so could have a material adverse effect on our business, financial condition, and results of operations.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depends on our ability to retain key employees, and to attract, retain and motivate qualified personnel.</w:t>
      </w:r>
    </w:p>
    <w:p>
      <w:pPr>
        <w:spacing w:after="0" w:line="187"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Our future depends, in part, on our ability to attract and retain key personnel, including engineers, technicians, machinists, and management personnel. For example, our research and development efforts rely on hiring and retaining qualified engineers. Competition for highly skilled engineers is extremely intense, and we may face difficulty in identifying and hiring qualified engineers in many areas of our business. Additionally, our future hinges on the continued contributions of our executive officers and other key management and technical personnel, each of whom would be challenging to replace. We do not maintain a key person life insurance policy on our chairman of the board, our chief executive officer, or our president and chief financial officer. The loss of the services of one or more of our senior executive officers or key personnel, or the inability to continue to attract qualified personnel, could potentially delay product development cycles or otherwise materially harm our business, results of operations, and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upon our officers and directors, and their loss could adversely affect our ability to operate.</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Our operations are dependent upon a relatively small group of individuals and, in particular, our officers and directors. We believe that our success depends on the continued service of our officers and directors. None of our directors are required to commit any specified amount of time to our affairs and, accordingly, will have conflicts of interest in allocating their time among various business activities. The unexpected loss of the services of one or more of our directors or officers could have a detrimental effect on the business.</w:t>
      </w:r>
    </w:p>
    <w:p>
      <w:pPr>
        <w:spacing w:after="0" w:line="13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identified material weaknesses in our internal control over financial reporting. If we are unable to maintain effective internal control over financial reporting, we may not be able to accurately or timely report our financial condition or results of operations, which may adversely affect our business and share price.</w:t>
      </w:r>
    </w:p>
    <w:p>
      <w:pPr>
        <w:spacing w:after="0" w:line="119" w:lineRule="exact"/>
        <w:rPr>
          <w:sz w:val="20"/>
          <w:szCs w:val="20"/>
          <w:color w:val="auto"/>
        </w:rPr>
      </w:pPr>
    </w:p>
    <w:p>
      <w:pPr>
        <w:jc w:val="both"/>
        <w:ind w:right="20" w:firstLine="517"/>
        <w:spacing w:after="0" w:line="293" w:lineRule="auto"/>
        <w:rPr>
          <w:sz w:val="20"/>
          <w:szCs w:val="20"/>
          <w:color w:val="auto"/>
        </w:rPr>
      </w:pPr>
      <w:r>
        <w:rPr>
          <w:rFonts w:ascii="Times New Roman" w:cs="Times New Roman" w:eastAsia="Times New Roman" w:hAnsi="Times New Roman"/>
          <w:sz w:val="14"/>
          <w:szCs w:val="14"/>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spacing w:after="0" w:line="123" w:lineRule="exact"/>
        <w:rPr>
          <w:sz w:val="20"/>
          <w:szCs w:val="20"/>
          <w:color w:val="auto"/>
        </w:rPr>
      </w:pPr>
    </w:p>
    <w:p>
      <w:pPr>
        <w:jc w:val="both"/>
        <w:ind w:left="1040" w:hanging="517"/>
        <w:spacing w:after="0" w:line="261" w:lineRule="auto"/>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an effective control environment commensurate with our financial reporting requirements. Specifically, we lacked a sufficient complement of personnel with an appropriate level of accounting knowledge, training and experience to appropriately analyze, record and disclose accounting matters timely and accurately. Additionally, the insufficient complement of personnel resulted in an inability to consistently establish appropriate authorities and responsibilities in pursuit of financial reporting objectives, as demonstrated by, among other things, insufficient segregation of duties in its finance and accounting functions;</w:t>
      </w:r>
    </w:p>
    <w:p>
      <w:pPr>
        <w:spacing w:after="0" w:line="1" w:lineRule="exact"/>
        <w:rPr>
          <w:rFonts w:ascii="Times New Roman" w:cs="Times New Roman" w:eastAsia="Times New Roman" w:hAnsi="Times New Roman"/>
          <w:sz w:val="14"/>
          <w:szCs w:val="14"/>
          <w:color w:val="auto"/>
        </w:rPr>
      </w:pPr>
    </w:p>
    <w:p>
      <w:pPr>
        <w:jc w:val="both"/>
        <w:ind w:left="1040" w:hanging="517"/>
        <w:spacing w:after="0" w:line="264" w:lineRule="auto"/>
        <w:tabs>
          <w:tab w:leader="none" w:pos="10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an effective risk assessment process at a precise enough level to identify new and evolving risks of material misstatement in the financial statements. Specifically, changes to existing controls or the implementation of new controls have not been sufficient to respond to changes to the risks of material misstatement to financial reporting.</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These material weaknesses contributed to the following additional material weaknesses:</w:t>
      </w:r>
    </w:p>
    <w:p>
      <w:pPr>
        <w:spacing w:after="0" w:line="183" w:lineRule="exact"/>
        <w:rPr>
          <w:sz w:val="20"/>
          <w:szCs w:val="20"/>
          <w:color w:val="auto"/>
        </w:rPr>
      </w:pPr>
    </w:p>
    <w:p>
      <w:pPr>
        <w:jc w:val="both"/>
        <w:ind w:left="1040" w:hanging="517"/>
        <w:spacing w:after="0" w:line="260" w:lineRule="auto"/>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formal accounting policies, procedures and controls to achieve complete, accurate and timely financial accounting, reporting and disclosures, including controls over (i) the preparation and review of account reconciliations and journal entries, (ii) maintaining appropriate segregation of duties, (iii) determining the appropriate grant date for stock options and evaluating the assumptions used within the Black-Scholes model to determine the fair value of option grants, and (iv) the review of the completeness and accuracy of the income tax provision and related disclosures. Additionally, we did not design and maintain controls over the classification and presentation of accounts and disclosures in the financial statements and to ensure revenue transactions are recorded in the correct period.</w:t>
      </w:r>
    </w:p>
    <w:p>
      <w:pPr>
        <w:spacing w:after="0" w:line="2" w:lineRule="exact"/>
        <w:rPr>
          <w:rFonts w:ascii="Times New Roman" w:cs="Times New Roman" w:eastAsia="Times New Roman" w:hAnsi="Times New Roman"/>
          <w:sz w:val="14"/>
          <w:szCs w:val="14"/>
          <w:color w:val="auto"/>
        </w:rPr>
      </w:pPr>
    </w:p>
    <w:p>
      <w:pPr>
        <w:jc w:val="both"/>
        <w:ind w:left="1040" w:hanging="517"/>
        <w:spacing w:after="0" w:line="256" w:lineRule="auto"/>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effective controls to identify and account for certain non-routine, unusual or complex transactions, including the proper application of U.S. GAAP of such transactions. Specifically, we did not design and maintain effective controls to (i) timely identify, account for and value business combinations and asset acquisitions, including the associated tax implications and (ii) timely identify, account for and value financing arrangements.</w:t>
      </w:r>
    </w:p>
    <w:p>
      <w:pPr>
        <w:spacing w:after="0" w:line="1" w:lineRule="exact"/>
        <w:rPr>
          <w:rFonts w:ascii="Times New Roman" w:cs="Times New Roman" w:eastAsia="Times New Roman" w:hAnsi="Times New Roman"/>
          <w:sz w:val="14"/>
          <w:szCs w:val="14"/>
          <w:color w:val="auto"/>
        </w:rPr>
      </w:pPr>
    </w:p>
    <w:p>
      <w:pPr>
        <w:ind w:left="1040" w:hanging="517"/>
        <w:spacing w:after="0" w:line="273" w:lineRule="auto"/>
        <w:tabs>
          <w:tab w:leader="none" w:pos="10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effective controls to verify transactions are properly authorized, executed, and accounted for, including transactions related to incentive compensation arrangements.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21" w:name="page22"/>
    <w:bookmarkEnd w:id="21"/>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These material weaknesses resulted in adjustments to revenue, accrued expenses, general and administrative expenses, inventory, costs of products sold, the accounting for and classification of redeemable convertible preferred stock, founders preferred and common stock, stock-based compensation expense, other current assets, income tax expense and deferred tax liabilities, as well as the purchase price allocation for the business combination, as of and for the years ended September 30, 2022 and 2021; adjustments to stock-based compensation expense, accrued expenses, other current liabilities and the PIPE make-whole liability, as well as the purchase price allocations for our business combinations as of and for the interim periods ended December 31, 2023 and June 30, 2024, and as of and for the year ended September 30, 2024; and, an adjustment to the number of shares of our Class B Common Stock reported as issued and outstanding as of June 30, 2025.</w:t>
      </w:r>
    </w:p>
    <w:p>
      <w:pPr>
        <w:spacing w:after="0" w:line="316" w:lineRule="exact"/>
        <w:rPr>
          <w:sz w:val="20"/>
          <w:szCs w:val="20"/>
          <w:color w:val="auto"/>
        </w:rPr>
      </w:pPr>
    </w:p>
    <w:p>
      <w:pPr>
        <w:jc w:val="both"/>
        <w:ind w:left="1040" w:hanging="517"/>
        <w:spacing w:after="0" w:line="265" w:lineRule="auto"/>
        <w:tabs>
          <w:tab w:leader="none" w:pos="10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effective IT general controls for information systems that are relevant to the preparation of the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 These deficiencies did not result in a misstatement to the financial statements.</w:t>
      </w:r>
    </w:p>
    <w:p>
      <w:pPr>
        <w:spacing w:after="0" w:line="144"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Additionally, these material weaknesses could result in a misstatement of substantially all of our accounts or disclosures that would result in a material misstatement to the annual or interim financial statements that would not be prevented or detected.</w:t>
      </w:r>
    </w:p>
    <w:p>
      <w:pPr>
        <w:spacing w:after="0" w:line="12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are working to remediate the material weaknesses as efficiently and effectively as possible. At this time, we cannot provide an estimate of costs expected to be incurred in connection with implementing this remediation plan; however, these remediation measures will be time consuming, will result in us incurring significant costs and will place significant demands on our financial and operational resources.</w:t>
      </w:r>
    </w:p>
    <w:p>
      <w:pPr>
        <w:spacing w:after="0" w:line="135"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While we are designing and implementing measures to remediate our existing material weaknesses, we cannot predict the success of such measures or the outcome of our assessment of these measures at this time. We can give no assurance that these measures will remediate any of the deficiencies in our internal control over financial reporting, or that we will not identify additional material weaknesses in our internal control over financial reporting in the future. Our current controls and any new controls that we develop may become inadequate because of changes in conditions in our business, personnel, IT systems and applications, or other factors. Any failure to design or maintain effective internal control over financial reporting or any difficulties encountered in their implementation or improvement could increase compliance costs, negatively impact share trading prices, or otherwise harm our operating results or cause us to fail to meet our reporting obligations.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our ability to record, process, summarize and report information within the time periods specified in the rules and forms of the SEC could be adversely affected, which, in turn, may adversely affect our reputation and business and the market price of our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2" w:name="page23"/>
    <w:bookmarkEnd w:id="22"/>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As a public company, we are required to furnish a report by management on, among other things, the effectiveness of our internal control over financial reporting. Our independent registered public accounting firm is not required to attest to the effectiveness of our internal control over financial reporting until after we are no longer a “smaller reporting company,” as defined in Item 10(f)(1) of Regulation S-K. We may not be able to conclude on an ongoing basis that we have effective internal control over financial reporting, in which case our independent registered public accounting firm could not issue an unqualified opinion related to the effectiveness of our internal control over financial reporting. If we continue to conclude that we have ineffective internal control over financial reporting and our independent registered public accounting firm is unable to issue an unqualified opinion related to the effectiveness of our internal control over financial reporting, investors could lose confidence in our reported financial information, which could have a material adverse effect on the trading price of our Class A Common Stock.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suffer in the event of a security breach involving our IT systems, intellectual property or other proprietary or confidential information.</w:t>
      </w:r>
    </w:p>
    <w:p>
      <w:pPr>
        <w:spacing w:after="0" w:line="187"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color w:val="auto"/>
        </w:rPr>
        <w:t>We rely on the efficient and uninterrupted operation of complex information technology applications, systems, and networks to conduct our business. The reliability and security of our information technology infrastructure and software, as well as our ability to expand and continually update technologies in response to changing needs, are critical to our operations. Any significant interruption in these applications, systems, or networks - such as new system implementations, computer viruses, cyberattacks, security breaches, facility issues, or energy blackouts - could result in misappropriation of our intellectual property or other proprietary or confidential information and could have a material adverse impact on our business, financial condition, and results of operations.</w:t>
      </w:r>
    </w:p>
    <w:p>
      <w:pPr>
        <w:spacing w:after="0" w:line="317" w:lineRule="exact"/>
        <w:rPr>
          <w:sz w:val="20"/>
          <w:szCs w:val="20"/>
          <w:color w:val="auto"/>
        </w:rPr>
      </w:pPr>
    </w:p>
    <w:p>
      <w:pPr>
        <w:jc w:val="both"/>
        <w:ind w:firstLine="517"/>
        <w:spacing w:after="0" w:line="286" w:lineRule="auto"/>
        <w:rPr>
          <w:sz w:val="20"/>
          <w:szCs w:val="20"/>
          <w:color w:val="auto"/>
        </w:rPr>
      </w:pPr>
      <w:r>
        <w:rPr>
          <w:rFonts w:ascii="Times New Roman" w:cs="Times New Roman" w:eastAsia="Times New Roman" w:hAnsi="Times New Roman"/>
          <w:sz w:val="14"/>
          <w:szCs w:val="14"/>
          <w:color w:val="auto"/>
        </w:rPr>
        <w:t>Our business also depends on various outsourced IT services. We rely on third-party vendors to provide critical services and to adequately address cybersecurity threats to their own systems. Any failure of third-party systems and services to operate effectively could disrupt our operations and could have a material adverse effect on our business, financial condition, and results of operations.</w:t>
      </w:r>
    </w:p>
    <w:p>
      <w:pPr>
        <w:spacing w:after="0" w:line="30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Instituting and defending against intellectual property or other types of litigation and administrative proceedings could cause us to spend substantial resources, distract our personnel from their normal responsibilities, and have uncertain outcomes.</w:t>
      </w:r>
    </w:p>
    <w:p>
      <w:pPr>
        <w:spacing w:after="0" w:line="119"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We have in the past been, are currently, and may in the future be involved in actual and threatened litigation, regulatory proceedings, and commercial or contractual disputes that may be significant. These matters may include, without limitation, disputes with suppliers and customers, competitors, intellectual property disputes, government investigations, and stockholder litigation. In such matters, government agencies or private parties may seek to recover very large, indeterminate amounts of monetary damages or penalties from us, including, in some cases, treble or punitive damages. These types of litigation and proceedings could require significant management time and attention or could involve substantial legal liability. They could have a material adverse impact on our operating results and financial position, and our established reserves or our available insurance may not sufficiently mitigate this impact.</w:t>
      </w:r>
    </w:p>
    <w:p>
      <w:pPr>
        <w:spacing w:after="0" w:line="14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Some of our potential customers, including those in the military and aerospace industries, may require us to comply with additional regulatory requirements, which will increase our compliance costs.</w:t>
      </w:r>
    </w:p>
    <w:p>
      <w:pPr>
        <w:spacing w:after="0" w:line="119"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Some of our potential customers, including those in the military and aerospace industries, may require us to comply with additional regulatory requirements. These additional regulations may impose added costs on our business and could have a material adverse effect on our business, financial condition and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be adversely affected by violations of applicable anti-corruption laws or violations of our internal policies designed to ensure ethical business practices.</w:t>
      </w:r>
    </w:p>
    <w:p>
      <w:pPr>
        <w:spacing w:after="0" w:line="18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We are subject to the risk that we, our U.S. employees or employees located in other jurisdictions or any third parties that we engage to do work on our behalf in foreign countries may take action determined to be in violation of anti-corruption laws in any jurisdiction in which we conduct business, including the U.S. Foreign Corrupt Practices Act of 1977 (the “FCPA”). Any violation of the FCPA or any similar anti-corruption law or regulation could result in substantial fines, sanctions, civil and/or criminal penalties and curtailment of operations in certain jurisdictions and might adversely affect our business, results of operations or financial condition. In addition, we have internal ethics policies that we require our employees to comply with in order to ensure that our business is conducted in a manner that our management deems appropriate. If these anti-corruption laws or internal policies were to be violated, our reputation and operations could also be substantially harmed.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3" w:name="page24"/>
    <w:bookmarkEnd w:id="23"/>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intellectual property applications, including patent and trademark applications, may not be issued or granted or may take longer than expected to result in an issuance or grant, which may have a material adverse effect on our ability to enforce our intellectual property rights.</w:t>
      </w:r>
    </w:p>
    <w:p>
      <w:pPr>
        <w:spacing w:after="0" w:line="119"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We have a number of patents and pending patent applications for our business. In addition, we have had both registered trademarks and pending trademark applications. We cannot be certain that our applications for patent and trademark protection will be successful, and even if issued or granted, we cannot guarantee that such patents or trademarks will provide meaningful protection of our intellectual property. In addition, we may not be able to file and/or prosecute all necessary or desirable applications for intellectual property registrations at a reasonable cost or in a timely manner or pursue or obtain protection in all relevant markets, which could adversely affect our business, prospects,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our intellectual property, and our failure to protect that intellectual property could adversely affect our business.</w:t>
      </w:r>
    </w:p>
    <w:p>
      <w:pPr>
        <w:spacing w:after="0" w:line="187" w:lineRule="exact"/>
        <w:rPr>
          <w:sz w:val="20"/>
          <w:szCs w:val="20"/>
          <w:color w:val="auto"/>
        </w:rPr>
      </w:pPr>
    </w:p>
    <w:p>
      <w:pPr>
        <w:jc w:val="both"/>
        <w:ind w:firstLine="517"/>
        <w:spacing w:after="0" w:line="286" w:lineRule="auto"/>
        <w:rPr>
          <w:sz w:val="20"/>
          <w:szCs w:val="20"/>
          <w:color w:val="auto"/>
        </w:rPr>
      </w:pPr>
      <w:r>
        <w:rPr>
          <w:rFonts w:ascii="Times New Roman" w:cs="Times New Roman" w:eastAsia="Times New Roman" w:hAnsi="Times New Roman"/>
          <w:sz w:val="14"/>
          <w:szCs w:val="14"/>
          <w:color w:val="auto"/>
        </w:rPr>
        <w:t>Our failure to protect our existing intellectual property rights may result in the loss of exclusivity or the right to use our technologies. If we do not adequately ensure our freedom to use certain technology, we may have to pay others for rights to use their intellectual property, pay damages for infringement or misappropriation, and/or be enjoined from using such intellectual property.</w:t>
      </w:r>
    </w:p>
    <w:p>
      <w:pPr>
        <w:spacing w:after="0" w:line="30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We cannot be certain that our technology and products do not or will not infringe upon the intellectual property rights of third parties. If infringement were to occur, our development, manufacturing, sales and distribution of such technology or products may be disrupted.</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We rely on patent, trade secret, trademark and copyright law to protect our intellectual property. Our patent position is subject to complex factual and legal issues that may give rise to uncertainty as to the validity, scope and enforceability of a particular patent. Accordingly, we cannot assure that any of the patents we have filed or other patents that third parties license to us will not be invalidated, circumvented, challenged, rendered unenforceable, or licensed to others or that any of our pending or future patent applications will be issued with the breadth of claim coverage we seek, if issued at all.</w:t>
      </w:r>
    </w:p>
    <w:p>
      <w:pPr>
        <w:spacing w:after="0" w:line="142"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Effective patent, trademark, copyright and trade secret protection may be unavailable, limited or not applied for in certain foreign countries. For instance, it may be difficult for us to enforce certain of our intellectual property rights against third parties who may have inappropriately acquired interests in our intellectual property rights by filing unauthorized trademark applications in foreign countries to register our marks because of their familiarity with our business in the United States.</w:t>
      </w:r>
    </w:p>
    <w:p>
      <w:pPr>
        <w:spacing w:after="0" w:line="135"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Some of our proprietary intellectual property is not protected by any patent or patent application, and, despite our precautions, it may be possible for third parties to obtain and use such intellectual property without authorization. We have generally sought to protect such proprietary intellectual property in part by confidentiality agreements and, if applicable, inventors’ rights agreements with strategic partners and employees, although such agreements have not been put in place in every instance. We cannot guarantee that these agreements adequately protect our trade secrets and other intellectual property or proprietary rights. In addition, we cannot ensure that these agreements will not be breached, that we will have adequate remedies for any breach or that such persons or institutions will not assert rights to intellectual property arising out of these relationships. Furthermore, the steps we have taken and may take in the future may not prevent misappropriation of our solutions or technologies, particularly in respect of officers and employees who are no longer employed by us or in foreign countries where laws or law enforcement practices may not protect our proprietary rights as fully as in the United States.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24" w:name="page25"/>
    <w:bookmarkEnd w:id="24"/>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are subject to state, federal and international privacy and data protection laws and regulations. Our failure to comply with these laws and regulations could have an adverse effect on our business, prospects, financial condition and results of operations.</w:t>
      </w:r>
    </w:p>
    <w:p>
      <w:pPr>
        <w:spacing w:after="0" w:line="119"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We are subject to state, federal and international privacy and data protection-related laws and regulations that impose obligations on us in connection with the collection, storage, use, processing, disclosure, protection, transmission, retention and disposal of personal, sensitive, regulated and confidential data. We also may be bound by contractual obligations relating to our collection, use and disclosure of personal, confidential and other data. While we strive to comply with all applicable privacy, data protection and information security laws and regulations, as well as our contractual obligations and applicable industry standards, such laws, regulations, obligations and standards continue to evolve and are becoming increasingly complex, which makes compliance challenging and expensive. Any failure or perceived failure by us to comply with laws, regulations, industry standards or contractual or other legal obligations relating to privacy, data protection or information security could have an adverse effect on our reputation, business, prospects, financial condition and results of operations.</w:t>
      </w:r>
    </w:p>
    <w:p>
      <w:pPr>
        <w:spacing w:after="0" w:line="139"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and must remain in compliance with, numerous laws and governmental regulations across various jurisdictions concerning the development and sale of our products, including engagement of employees and contractors.</w:t>
      </w:r>
    </w:p>
    <w:p>
      <w:pPr>
        <w:spacing w:after="0" w:line="119"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We develop and sell products that contain electronic components, and such components may contain materials that are subject to government regulation in both the locations where the products are manufactured and assembled, as well as the locations where the products are sold. Since we sell products internationally and intend to significantly increase our sales as we commercialize our semiconductor products, this will be a complex process that will require continuous monitoring of regulations and an ongoing compliance process to ensure that we, and our suppliers and manufacturers, are in compliance with all existing regulations. If there is an unanticipated new regulation that significantly impacts our use of various components or requires more expensive components, that regulation could materially adversely affect our business, results of operations and financial condition.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Securities</w:t>
      </w:r>
    </w:p>
    <w:p>
      <w:pPr>
        <w:spacing w:after="0" w:line="18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In the event that we are unable to maintain compliance with Nasdaq’s continued listing standards, Nasdaq may delist our securities from trading on its exchange, which could limit investors’ ability to make transactions in our securities and subject us to additional trading restrictions.</w:t>
      </w:r>
    </w:p>
    <w:p>
      <w:pPr>
        <w:spacing w:after="0" w:line="119"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Currently, our Class A Common Stock and the Public Warrants are traded on Nasdaq. However, we cannot assure you that our securities will continue to be listed on Nasdaq in the future. In order to continue listing our securities on Nasdaq, we are required to maintain certain financial, distribution, and stock price levels. We are required to maintain a minimum bid price of $1.00 per share (the “Minimum Bid Price Requirement”). On April 28, 2025, we received a delinquency notification letter (the “Notice”) from Nasdaq’s Listing Qualifications Staff (the “Staff”) due to the non-compliance with Nasdaq Listing Rule 5550(a)(2) as a result of our failure to maintain the Minimum Bid Price Requirement. The Notice stated that, as of its date, the stock price of the Class A Common Stock was below $1.00 for 30 consecutive business days and gave us 180 calendar days, or until October 27, 2025, to regain compliance by maintaining a closing bid price of at least $1.00 per share for a minimum of ten consecutive business days (the “Initial Compliance Period”).</w:t>
      </w:r>
    </w:p>
    <w:p>
      <w:pPr>
        <w:spacing w:after="0" w:line="143"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On October 24, 2025, we submitted a request to Nasdaq for an additional 180-day period (the “Second Compliance Period”) to provide additional time for us to demonstrate compliance with the Minimum Bid Price Requirement. On October 29, 2025 we received written notice from Nasdaq (the “Extension Letter”) granting us an extension through April 27, 2026 (the “Extension Deadline”), to regain compliance with the Minimum Bid Price Requirement. On March 23, 2026, our stockholders approved a proposal to effect the Reverse Stock Split. The Reverse Stock Split went effective after market close on April 6, 2026. The effects of the Reverse Stock Split allowed us to regain compliance with the Minimum Bid Price Requirement as of April 21, 2026; however, the Reverse Stock Split is subject to certain risks, which are outlined below. We may in the future fail to meet the Minimum Bid Price Requirement and in such event, if we fail to timely regain compliance with the Minimum Bid Price Requirement, Nasdaq will provide written notification to us that our common stock is subject to delisting. Nasdaq rules provide that any listed company that fails to meet the Minimum Bid Price Requirement and has effected a reverse stock split over the prior one-year period, or has effected one or more reverse stock splits over the prior two-year period with a cumulative ratio of 250 shares or more to one, will not be eligible for an automatic 180-day grace compliance period and the Staff is obligated to immediately issue a delisting determination. Therefore, if we were to fall out of compliance with the Minimum Bid Price Requirement prior to April 6, 2027, we would not be able to effect a reverse stock split and would immediately be issued a delisting determination.</w:t>
      </w:r>
    </w:p>
    <w:p>
      <w:pPr>
        <w:spacing w:after="0" w:line="150"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At our special meeting of stockholders held on October 2, 2026, our stockholders approved a proposal authorizing our board of directors, in its discretion, to effect an additional reverse stock split of our outstanding common stock, and we may effect such reverse stock split prior to falling out of compliance with the Minimum Bid Price Requirement in an effort to maintain compliance. As of October 9, 2026, our stock price is below the Minimum Bid Price Requirement.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25" w:name="page26"/>
    <w:bookmarkEnd w:id="25"/>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We are also required to maintain a minimum market capitalization (generally $35 million) and a minimum number of holders of our listed securities (generally 400 public holders). On January 15, 2026, we received a delinquency notification letter (the “MVLS Notice”) from the Staff that we are not compliant with Nasdaq Listing Rule 5550(b)(2) as a result of our failure to maintain a minimum Market Value of Listed Securities (“MVLS Requirement”) of $35 million. We have subsequently regained compliance with the MVLS Requirement. However, we may in the future fail to meet the MVLS Requirement and in such event, if we fail to timely regain compliance with the MVLS Requirement, Nasdaq will provide written notification to us that our common stock is subject to delisting.</w:t>
      </w:r>
    </w:p>
    <w:p>
      <w:pPr>
        <w:spacing w:after="0" w:line="144"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23" w:lineRule="exact"/>
        <w:rPr>
          <w:sz w:val="20"/>
          <w:szCs w:val="20"/>
          <w:color w:val="auto"/>
        </w:rPr>
      </w:pPr>
    </w:p>
    <w:p>
      <w:pPr>
        <w:ind w:left="1040" w:hanging="517"/>
        <w:spacing w:after="0"/>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availability of market quotations for our securities;</w:t>
      </w:r>
    </w:p>
    <w:p>
      <w:pPr>
        <w:spacing w:after="0" w:line="24"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liquidity for our securities;</w:t>
      </w:r>
    </w:p>
    <w:p>
      <w:pPr>
        <w:spacing w:after="0" w:line="11"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ind w:left="1040" w:hanging="517"/>
        <w:spacing w:after="0"/>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amount of news and analyst coverage; and</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decreased ability to issue additional securities or obtain additional financing in the future.</w:t>
      </w:r>
    </w:p>
    <w:p>
      <w:pPr>
        <w:spacing w:after="0" w:line="170"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National Securities Markets Improvement Act of 1996, which is a federal statute, prevents or preempts the states from regulating the sale of certain securities, which are referred to as “covered securities.” Since our Class A Common Stock and our Public Warrants are listed on Nasdaq, they are covered securities. If we are no longer listed on Nasdaq, our securities would not be covered securities and we would be subject to regulation in each state in which we offer our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Reverse Stock Split has led to a decrease in the overall market capitalization of the company.</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Reverse Stock Split may be viewed negatively by the market. Following the Reverse Stock Split, our per share market price has declined, which has resulted in a decrease in our overall market capitalization. If there are further decreases in the per share market price of our Class A Common Stock, then our value, as measured by our market capitalization, will be reduced. If we are required to implement another reverse stock split to maintain compliance with the Minimum Bid Price Requirement, our market capitalization may further decrease.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securities is volatile.</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market price of our securities has been and may continue to be volatile. The price of our securities may fluctuate significantly in response to a number of factors, many of which are outside our control, and investors in our securities may experience decreases in the value of those securities, including decreases unrelated to our operating performance. In addition, price volatility may be greater if the public float and trading volume of our Class A Common Stock is 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that could cause the market price of our securities to fluctuate or decline include, among others:</w:t>
      </w:r>
    </w:p>
    <w:p>
      <w:pPr>
        <w:spacing w:after="0" w:line="183" w:lineRule="exact"/>
        <w:rPr>
          <w:sz w:val="20"/>
          <w:szCs w:val="20"/>
          <w:color w:val="auto"/>
        </w:rPr>
      </w:pPr>
    </w:p>
    <w:p>
      <w:pPr>
        <w:ind w:left="520" w:hanging="256"/>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operating results from period to period;</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expectations regarding our growth, profitability or other performance metrics;</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regarding our business, including contracts, acquisitions, financings, strategic partnerships or joint ventures;</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or recommendations by securities analysts, or the failure to meet analysts’ or investors’ expectations;</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or stock price performance of other companies that investors may view as comparable to us;</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or expected sales of a significant number of shares of our Class A Common Stock by us or by our directors, executive officers or other large stockholders;</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including future issuances of equity or convertible securities or the incurrence of additional indebtedness;</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in litigation, regulatory matters or governmental investigations involving us;</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regulations, accounting standards or interpretations applicable to us or our industry; and</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economic, industry and geopolitical conditions, including recessions, interest rate changes, currency fluctuations and acts of war, terrorism or natural disasters.</w:t>
      </w:r>
    </w:p>
    <w:p>
      <w:pPr>
        <w:spacing w:after="0" w:line="183"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6" w:name="page27"/>
    <w:bookmarkEnd w:id="26"/>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In addition, broad market and industry factors, including those unrelated to our actual or expected operating performance, may materially and adversely affect the market price of our securities. As a result, you may not be able to resell such securities at or above the price you paid and may lose all or part of your investment.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equity research analysts do not publish research or reports, or if they publish unfavorable research or reports about our company, our stock price and trading volume could decline.</w:t>
      </w:r>
    </w:p>
    <w:p>
      <w:pPr>
        <w:spacing w:after="0" w:line="187"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The trading market for Class A Common Stock may be influenced by the research and reports that equity research analysts publish about us and our business. In the event we do have equity research analyst coverage, the information and opinions about our Class A Common Stock that is available to investors may be limited, which could reduce demand for our stock. The price of our stock could decline if one or more equity research analysts downgrade the stock or issue other unfavorable commentary or research. If one or more equity research analysts ceases coverage of us or fails to publish reports regularly, demand for our stock could decrease, which, in turn, could cause our stock price or trading volume to decline.</w:t>
      </w:r>
    </w:p>
    <w:p>
      <w:pPr>
        <w:spacing w:after="0" w:line="138"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are subject to changing laws and regulations regarding corporate governance and public disclosure that have increased both our costs and the risk of non-compliance and may adversely affect our business, and our results of operations.</w:t>
      </w:r>
    </w:p>
    <w:p>
      <w:pPr>
        <w:spacing w:after="0" w:line="119"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We are subject to laws and regulations enacted by national, regional and local governments. In particular, we are required to comply with certain SEC and other legal requirements. Our efforts to comply with new and changing laws and regulations have resulted in and are likely to continue to result in, increased general and administrative expenses and a diversion of management time and attention from revenue-generating activities to compliance activities. Those laws and regulations and their interpretation and application may also change from time to time, and those changes could have a material adverse effect on our business, investments and results of operations.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 In addition, a failure to comply with applicable laws or regulations, as interpreted and applied, could have a material adverse effect on our business, and our results of operations.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become subject to securities or class action litigation, which is expensive and could divert management’s attention.</w:t>
      </w:r>
    </w:p>
    <w:p>
      <w:pPr>
        <w:spacing w:after="0" w:line="187"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Our share price may be volatile and, in the past, companies that have experienced volatility in the market price of their stock have been subject to securities litigation, including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or any amounts paid to settle any such actual or threatened litigation could require that we make significant payments and/or could also subject us to significant liabilities.</w:t>
      </w:r>
    </w:p>
    <w:p>
      <w:pPr>
        <w:spacing w:after="0" w:line="13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The combination of a floating, discounted conversion price, anti-dilution protection, and a potentially increasing stated value or principal amount could result in the issuance of a significantly greater number of shares of our common stock than currently anticipated, causing substantial and potentially continuing dilution to our stockholders and further depressing the market price of our Class A Common Stock.</w:t>
      </w:r>
    </w:p>
    <w:p>
      <w:pPr>
        <w:spacing w:after="0" w:line="133"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The conversion price applicable to each of the Series A Preferred Stock and the convertible notes is not fixed but instead floats at a discount to the recent trading price of our Class A Common Stock and is subject to anti-dilution and other adjustments. Because the conversion price is tied to a discount to the market price of our Class A Common Stock, the lower the market price of our Class A Common Stock at the time of conversion, the more shares of common stock a holder will receive upon conversion. The conversion of some or all of the Series A Preferred Stock or the convertible notes into shares of our common stock will dilute the ownership interests of our existing stockholders. In addition, any sales in the public market of the shares of our Class A Common Stock issuable upon such conversion, and/or any anticipated conversion of these securities into shares of our Class A Common Stock, could adversely affect prevailing market prices of our common stock. Any such conversion may significantly dilute our common stockholders and adversely affect both our net income per share and the market price of our common stock. Although conversion of each of these securities is subject to a beneficial ownership limitation, and conversion of the convertible notes is also subject to an exchange cap and a stockholder approval limitation under applicable listing rules, these limitations restrict the size or timing of conversions but do not limit the aggregate number of shares that may ultimately be issued upon conversion over time.</w:t>
      </w:r>
    </w:p>
    <w:p>
      <w:pPr>
        <w:spacing w:after="0" w:line="321"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In addition, each of the Series A Preferred Stock and the convertible notes provides that its stated value or outstanding principal amount, as applicable, may automatically increase if the market price of our common stock is below the applicable conversion price, meaning that the amount owed to these holders may grow as our stock price declines. The combination of a floating, discounted conversion price, anti-dilution protection, and a potentially increasing stated value or principal amount could result in the issuance of a significantly greater number of shares of our common stock than currently anticipated, causing substantial and potentially continuing dilution to our stockholders and further depressing the market price of our common stock.</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7" w:name="page28"/>
    <w:bookmarkEnd w:id="27"/>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are a “smaller reporting company,” and if we take advantage of certain exemptions from disclosure requirements available to smaller reporting companies, our securities could be less attractive to investors.</w:t>
      </w:r>
    </w:p>
    <w:p>
      <w:pPr>
        <w:spacing w:after="0" w:line="119"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We are a “smaller reporting company,” as defined in Item 10(f)(1) of Regulation S-K, and we may take advantage of certain scaled disclosure requirements available to smaller reporting companies, including presenting only the two most recent fiscal years of audited financial statements and reduced disclosure obligations regarding executive compensation in our periodic reports and proxy statements. In addition, for so long as we are a smaller reporting company with less than $100 million in annual revenue, we will not be required to comply with the auditor attestation requirements of Section 404(b) of the Sarbanes-Oxley Act.</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Investors may find the Class A Common Stock less attractive to the extent we rely on the scaled disclosure and other relief available to smaller reporting companies. If some investors find the Class A Common Stock less attractive as a result, there may be a less active trading market for the Class A Common Stock and our stock price may decline or become more volatile.</w:t>
      </w:r>
    </w:p>
    <w:p>
      <w:pPr>
        <w:spacing w:after="0" w:line="123"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equity held by non-affiliates exceeds $250 million as of the last business day of the most recently completed second fiscal quarter or (ii) the market value of our common equity held by non-affiliates exceeds $700 million as of the last business day of the most recently completed second fiscal quarter and our annual revenue in the most recent fiscal year completed before the last business day of such second fiscal quarter exceeded $100 million. To the extent we take advantage of such reduced disclosure obligations, it may make comparison of our financial statements with other public companies difficult or impossible.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28" w:name="page29"/>
    <w:bookmarkEnd w:id="28"/>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Because we do not anticipate paying any cash dividends on our Class A Common Stock in the foreseeable future, capital appreciation, if any, will be your sole source of gains and you may never receive a return on your investment.</w:t>
      </w:r>
    </w:p>
    <w:p>
      <w:pPr>
        <w:spacing w:after="0" w:line="119"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You should not rely on an investment in the Class A Common Stock to provide dividend income. We currently intend to retain our future earnings, if any, to fund the development and growth of our business. In addition, the terms of any future debt agreements we may elect to utilize are likely to preclude us from paying dividends. As a result, capital appreciation, if any, of the Class A Common Stock will be your sole source of gain for the foreseeable future. Investors seeking cash dividends should not purchase our Class A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our Class A Common Stock may cause the market price of our Class A Common Stock to drop significantly, even if our business is doing well.</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percentage of shares of Class A Common Stock owned by current stockholders will likely be diluted because of equity issuances for acquisitions, capital market transactions, or otherwise, including, without limitation, equity awards that we may grant to our directors, officers, and employees, exercise of warrants or meeting the conditions triggering the issuance of the Earnout Shares. These issuances will have a dilutive effect on our earnings per share, which could adversely affect the market price of Class A Common Stock.</w:t>
      </w:r>
    </w:p>
    <w:p>
      <w:pPr>
        <w:spacing w:after="0" w:line="135"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in the public market, or the perception that such sales could occur, could adversely affect the market price of our Class A Common Stock and may make it more difficult for investors to sell their shares of our Class A Common Stock at a time and price that investors deem appropriate. We may issue a substantial number of Class A Common Stock upon conversion of the Preferred Shares and the Additional Notes, including pursuant to the adjustment provisions of the Preferred Shares and the Additional Notes.</w:t>
      </w:r>
    </w:p>
    <w:p>
      <w:pPr>
        <w:spacing w:after="0" w:line="31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On April 16, 2024, March 28, 2025, and April 27, 2026, we filed registration statements on Form S-8 under the Securities Act with the SEC to register shares of our Class A Common Stock that may be issued under our equity incentive plans from time to time, as well as any shares of our Class A Common Stock underlying outstanding options and restricted stock units (“RSUs”) that have been granted or promised to our directors, executive officers and other employees, all of which are subject to time-based vesting conditions. Shares registered under these registration statements will be available for sale in the public market upon issuance subject to vesting arrangements and exercise of options, as well as Rule 144 in the case of our affiliates.</w:t>
      </w:r>
    </w:p>
    <w:p>
      <w:pPr>
        <w:spacing w:after="0" w:line="142"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Sales of our Class A Common Stock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Class A Common Stock at a time and price that you deem appropriate.</w:t>
      </w:r>
    </w:p>
    <w:p>
      <w:pPr>
        <w:spacing w:after="0" w:line="13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Moreover, continuous sales of a substantial number of our shares of Class A Common Stock in the public market pursuant to resale registration statements, or the perception that these sales might occur, could depress the market price of our securities. The frequency of such sales could cause the market price of our securities to decline or increase the volatility in the market price of our securities.</w:t>
      </w:r>
    </w:p>
    <w:p>
      <w:pPr>
        <w:spacing w:after="0" w:line="13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are unable to predict the effect that these sales, particularly sales by our directors, executive officers and significant stockholders, may have on the prevailing market price of our Class A Common Stock. If holders of these shares sell, or indicate an intent to sell, substantial amounts of our Class A Common Stock in the public market, the trading price of our Class A Common Stock could decline significantly and make it difficult for us to raise funds through securities offerings in the future.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29" w:name="page30"/>
    <w:bookmarkEnd w:id="29"/>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The outstanding warrants are exercisable for Class A Common Stock, and, if exercised, would increase the number of shares eligible for future resale in the public market and would result in dilution to our stockholders.</w:t>
      </w:r>
    </w:p>
    <w:p>
      <w:pPr>
        <w:spacing w:after="0" w:line="119"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As of October 14, 2026, we have warrants outstanding, which are exercisable to purchase an aggregate of 2,589,874 shares of our Class A Common Stock for prices ranging from $0.10 to $57.90 per share (subject to adjustments as set forth in the applicable warrants). In addition, we may issue up to 9,800 shares of Series A Preferred Stock upon exercise of the Preferred Warrants, which shares of Series A Preferred Stock are convertible into shares of Class A Common Stock. To the extent such warrants are exercised, additional shares of Class A Common Stock will be issued, which will result in dilution to the holders of Class A Common Stock and will increase the number of shares eligible for resale in the public market. Sales of substantial numbers of such shares in the public market or the fact that such warrants may be exercised could adversely affect the market price of Class A Common Stock.</w:t>
      </w:r>
    </w:p>
    <w:p>
      <w:pPr>
        <w:spacing w:after="0" w:line="14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Charter and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119"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Our Certificate of Incorporation as amended (the “Charter”) and Bylaws provide, that: (i) unless we consent in writing to the selection of an alternative forum, the Court of Chancery of the State of Delaware (or, if such court does not have subject matter jurisdiction thereof, another state or federal court located within the State of Delaware) will, to the fullest extent permitted by law, be the sole and exclusive forum for (a) any derivative action or proceeding brought on behalf of us, (b) any action asserting a claim of breach of fiduciary duty owed by any director, officer or employee of us to us or the stockholders, (c) any civil action to interpret, apply or enforce any provision of the Delaware General Corporation Law, (d) any civil action to interpret, apply, enforce or determine the validity of the provisions of the Charter or the Bylaws or (e) any action asserting a claim governed by the internal affairs doctrine, in all cases, subject to the court having personal jurisdiction over the indispensable parties named as defendants, provided, however, that the foregoing would not apply to any causes of action arising under the Securities Act or the Exchange Act;</w:t>
      </w:r>
    </w:p>
    <w:p>
      <w:pPr>
        <w:jc w:val="both"/>
        <w:ind w:firstLine="6"/>
        <w:spacing w:after="0" w:line="259" w:lineRule="auto"/>
        <w:tabs>
          <w:tab w:leader="none" w:pos="2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we consent in writing to the selection of an alternative forum, the federal district courts of the United States will, to the fullest extent permitted by law, be the sole and exclusive forum for the resolution of any complaint asserting a cause of action arising under the Securities Act, and the rules and regulations promulgated thereunder, provided, however, that the foregoing will not apply to any action asserting claims under the Exchange Act; (iii) any person or entity purchasing or otherwise acquiring or holding any interest in shares of capital stock of us will be deemed to have notice of and consented to these provisions; and (iv) failure to enforce the foregoing provisions would cause us irreparable harm, and it would be entitled to equitable relief, including injunctive relief and specific performance, to enforce the foregoing provisions. Nothing in our Charter or Bylaws precludes stockholders that assert claims under the Exchange Act from bringing such claims in federal court to the extent that the Exchange Act confers exclusive federal jurisdiction over such claims, subject to applicable law.</w:t>
      </w:r>
    </w:p>
    <w:p>
      <w:pPr>
        <w:spacing w:after="0" w:line="149"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choice of forum provisions may limit a stockholder’s ability to bring a claim in a judicial forum that it finds favorable for disputes with us or any of our current or former director, officer, or other employee, which may discourage such claims.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Delaware law and provisions in the Charter and the Bylaws could make a takeover proposal more difficult.</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Certain provisions of the Charter, the Bylaws, and laws of the State of Delaware could discourage, delay, defer, or prevent a merger, tender offer, proxy contest, or other change of control transaction that a stockholder may consider favorable, including those attempts that might result in a premium over the market price for our Class A Common Stock. Among other things, the Charter and Bylaws include provisions that:</w:t>
      </w:r>
    </w:p>
    <w:p>
      <w:pPr>
        <w:spacing w:after="0" w:line="135" w:lineRule="exact"/>
        <w:rPr>
          <w:sz w:val="20"/>
          <w:szCs w:val="20"/>
          <w:color w:val="auto"/>
        </w:rPr>
      </w:pPr>
    </w:p>
    <w:p>
      <w:pPr>
        <w:ind w:left="5580" w:right="220" w:hanging="5057"/>
        <w:spacing w:after="0" w:line="395" w:lineRule="auto"/>
        <w:tabs>
          <w:tab w:leader="none" w:pos="104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a classified board of directors with staggered, three-year terms, which could delay the ability of stockholders to change the membership of a majority of the Board;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168910</wp:posOffset>
            </wp:positionV>
            <wp:extent cx="716026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30" w:name="page31"/>
    <w:bookmarkEnd w:id="30"/>
    <w:p>
      <w:pPr>
        <w:ind w:left="1040" w:hanging="517"/>
        <w:spacing w:after="0"/>
        <w:tabs>
          <w:tab w:leader="none" w:pos="1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cumulative voting in the election of directors, which limits the ability of minority stockholders to elect director candidates;</w:t>
      </w:r>
    </w:p>
    <w:p>
      <w:pPr>
        <w:spacing w:after="0" w:line="24"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exclusive right of the Board to elect a director to fill a vacancy created by the expansion of the Board or the resignation, death or removal of a director not elected by the holders of a class or series of capital stock of Mobix Labs or pursuant to the Charter, which prevents stockholders from being able to fill vacancies on the Board;</w:t>
      </w:r>
    </w:p>
    <w:p>
      <w:pPr>
        <w:ind w:left="1040" w:hanging="517"/>
        <w:spacing w:after="0" w:line="256" w:lineRule="auto"/>
        <w:tabs>
          <w:tab w:leader="none" w:pos="1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the Board to issue shares of common stock and preferred stock, including “blank check” preferred stock, and to determine the price and other terms of those shares, including preferences and voting rights of the preferred stock, without stockholder approval, which could be used to significantly dilute the ownership of a hostile acquirer;</w:t>
      </w:r>
    </w:p>
    <w:p>
      <w:pPr>
        <w:ind w:left="1040" w:hanging="517"/>
        <w:spacing w:after="0"/>
        <w:tabs>
          <w:tab w:leader="none" w:pos="1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stockholder action by written consent, which forces stockholder action to be taken at an annual or special meeting of stockholders;</w:t>
      </w:r>
    </w:p>
    <w:p>
      <w:pPr>
        <w:spacing w:after="0" w:line="11" w:lineRule="exact"/>
        <w:rPr>
          <w:rFonts w:ascii="Times New Roman" w:cs="Times New Roman" w:eastAsia="Times New Roman" w:hAnsi="Times New Roman"/>
          <w:sz w:val="14"/>
          <w:szCs w:val="14"/>
          <w:color w:val="auto"/>
        </w:rPr>
      </w:pPr>
    </w:p>
    <w:p>
      <w:pPr>
        <w:jc w:val="both"/>
        <w:ind w:left="1040" w:hanging="517"/>
        <w:spacing w:after="0" w:line="256" w:lineRule="auto"/>
        <w:tabs>
          <w:tab w:leader="none" w:pos="1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special meetings of stockholders be called (a) solely by the Chairperson of the Board, the Chief Executive Officer, or the President of Mobix Labs or by the Mobix Labs Board, and (b) by the Board upon the written request (made in accordance with the Charter and Bylaws) of the holders of not less than ten percent of the voting power of the outstanding shares of capital stock of Mobix Labs, which may delay the ability of stockholders to force consideration of a proposal or to take action, including the removal of directors;</w:t>
      </w:r>
    </w:p>
    <w:p>
      <w:pPr>
        <w:spacing w:after="0" w:line="1" w:lineRule="exact"/>
        <w:rPr>
          <w:rFonts w:ascii="Times New Roman" w:cs="Times New Roman" w:eastAsia="Times New Roman" w:hAnsi="Times New Roman"/>
          <w:sz w:val="14"/>
          <w:szCs w:val="14"/>
          <w:color w:val="auto"/>
        </w:rPr>
      </w:pPr>
    </w:p>
    <w:p>
      <w:pPr>
        <w:jc w:val="both"/>
        <w:ind w:left="1040" w:hanging="517"/>
        <w:spacing w:after="0" w:line="256" w:lineRule="auto"/>
        <w:tabs>
          <w:tab w:leader="none" w:pos="1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advance notice requirements for nominations for election to the Board or for proposing matters that can be acted upon by stockholders at annual meetings of stockholders (other than matters on which the holders of any class or series of capital stock of Mobix Labs are entitled to vote on as a single class pursuant to the Charter), which could preclude stockholders from bringing matters before annual meetings of stockholders and delay changes in the Board and also may discourage or deter a potential acquirer from conducting a solicitation of proxies to elect the acquirer’s own slate of directors or otherwise attempting to obtain control of the company;</w:t>
      </w:r>
    </w:p>
    <w:p>
      <w:pPr>
        <w:spacing w:after="0" w:line="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 supermajority vote of stockholders to amend certain provisions of the Charter or the Bylaws; and</w:t>
      </w:r>
    </w:p>
    <w:p>
      <w:pPr>
        <w:spacing w:after="0" w:line="11" w:lineRule="exact"/>
        <w:rPr>
          <w:rFonts w:ascii="Times New Roman" w:cs="Times New Roman" w:eastAsia="Times New Roman" w:hAnsi="Times New Roman"/>
          <w:sz w:val="14"/>
          <w:szCs w:val="14"/>
          <w:color w:val="auto"/>
        </w:rPr>
      </w:pPr>
    </w:p>
    <w:p>
      <w:pPr>
        <w:ind w:left="1040" w:hanging="517"/>
        <w:spacing w:after="0" w:line="273" w:lineRule="auto"/>
        <w:tabs>
          <w:tab w:leader="none" w:pos="10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the right of the Board to make, alter or repeal the Bylaws, which may allow the Board to take additional actions to prevent an unsolicited takeover and inhibit the ability of an acquirer to amend the Bylaws to facilitate an unsolicited takeover attempt.</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These provisions, alone or together, could delay hostile takeovers and changes in control of our company or changes in the Board and our management.</w:t>
      </w:r>
    </w:p>
    <w:p>
      <w:pPr>
        <w:spacing w:after="0" w:line="18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As a Delaware corporation, we are also subject to provisions of Delaware law, including Section 203 of the DGCL, which prevents some stockholders holding more than 15% of outstanding Class A Common Stock from engaging in certain business combinations without approval of the holders of substantially all of the Class A Common Stock. Any provision of our Charter or Bylaws or Delaware law that has the effect of delaying or deterring a change in control could limit the opportunity for stockholders to receive a premium for their shares of Class A Common Stock and could also affect the price that some investors are willing to pay for Class A 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redeem your unexpired Public Warrants prior to their exercise at a time that is disadvantageous to you, thereby rendering your warrants worthless.</w:t>
      </w:r>
    </w:p>
    <w:p>
      <w:pPr>
        <w:spacing w:after="0" w:line="187"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We have the ability to redeem outstanding Public Warrants at any time after they become exercisable and prior to their expiration, at a price of $0.10 per Public Warrant, provided that the closing price of our Class A Common Stock equals or exceeds $90.60 per share (as adjusted for share subdivisions, share capitalizations, reorganizations, recapitalizations, and the like, and for certain issuances of Class A Common Stock and equity-linked securities for capital-raising purposes) for any 20 trading days within a 30 trading-day period commencing once the Public Warrants become exercisable and ending on the third trading day prior to proper notice of such redemption and provided that certain other conditions are met on the date we give notice of redemption. We will not redeem the Public Warrants unless an effective registration statement under the Securities Act covering the Class A Common Stock issuable upon exercise of the Public Warrants is effective and a current prospectus relating to those shares of Class A Common Stock is available throughout the 30-day redemption period, except if the Public Warrants may be exercised on a cashless basis and such cashless exercise is exempt from warrant registration under the Securities Act. If and when the Public Warrants become redeemable by us, we may exercise our redemption right even if we are unable to register or qualify the underlying securities for sale under all applicable state securities laws.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31" w:name="page32"/>
    <w:bookmarkEnd w:id="31"/>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 redemption price, which, at the time the outstanding Public Warrants are called for redemption, is likely to be substantially less than the market value of your Public Warrants. None of the Public Warrants will be redeemable by us so long as they are held by their initial purchasers or their permitted transferees.</w:t>
      </w:r>
    </w:p>
    <w:p>
      <w:pPr>
        <w:spacing w:after="0" w:line="13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We may amend the terms of the Public Warrants in a manner that may be adverse to warrant holders. As a result, the exercise price of your Public Warrants could be increased, the Public Warrants could be converted into cash or stock (at a ratio different than initially provided), the exercise period could be shortened, and the number of shares of Class A Common Stock purchasable upon exercise of a Public Warrant could be decreased, all without the approval of a warrant holder.</w:t>
      </w:r>
    </w:p>
    <w:p>
      <w:pPr>
        <w:spacing w:after="0" w:line="133"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Accordingly, we may amend the terms of the Public Warrants in a manner adverse to a holder of Public Warrants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Public Warrants, convert the Public Warrants into cash or shares, shorten the exercise period, or decrease the number of Class A Common Stock purchasable upon exercise of a Public Warrant.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This prospectus relates to the shares of Class A Common Stock that may be offered and sold from time to time by the Selling Stockholder. All of our shares offered by the Selling Stockholder pursuant to this prospectus will be sold by the Selling Stockholder for their own accounts. We will not receive any of the proceeds from these sales. We may receive up to $9,800,000 to the extent the Preferred Warrants are exercised. We intend to use any proceeds from the exercise of the Preferred Warrants for working capital and general corporate purposes.</w:t>
      </w:r>
    </w:p>
    <w:p>
      <w:pPr>
        <w:spacing w:after="0" w:line="13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Selling Stockholder will pay any underwriting fees, discounts, selling commissions, stock transfer taxes and certain legal expenses incurred by such Selling Stockholder, as applicable, in disposing of their shares of Class A Common Stock,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4"/>
          <w:szCs w:val="14"/>
          <w:b w:val="1"/>
          <w:bCs w:val="1"/>
          <w:color w:val="auto"/>
        </w:rPr>
        <w:t>MARKET PRICE OF THE CLASS A COMMON STOCK AND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Price of the Class A Common Stock</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Class A Common Stock and the Public Warrants are listed on Nasdaq under the symbols “MOBX” and “MOBXW,” respectively.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October 29, 2026, the last closing price of the Class A Common Stock and the Public Warrants as reported on Nasdaq were $0.75 per share and $0.06 per warrant, respectively.</w:t>
      </w:r>
    </w:p>
    <w:p>
      <w:pPr>
        <w:spacing w:after="0" w:line="18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As of October 14, 2026 there were 23,576,570 shares of Class A Common Stock outstanding held of record by 236 holders and Public Warrants to purchase 600,000 shares of Class A Common Stock outstanding held of record by 16 holders. The number of record holders does not include The Depository Trust Company participants or beneficial owners holding shares or Public Warrants through banks, brokers, other financial institutions or other nominees.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have never paid any cash dividends on the Common Stock. The payment of cash dividends in the future will be dependent upon revenues and earnings, if any, capital requirements and general financial condition from time to time. The payment of any cash dividends will be within the discretion of the Board. It is presently expected that we will retain all earnings for use in our business operations and, accordingly, it is not expected that the Board will declare any dividends in the foreseeable future.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 AND RESULTS OF OPERATIONS OF MOBIX LABS</w:t>
      </w:r>
    </w:p>
    <w:p>
      <w:pPr>
        <w:spacing w:after="0" w:line="183"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should be read in conjunction with our consolidated financial statements included elsewhere in this prospectus. The following discussion contains forward-looking statements based upon current beliefs that involve risks, uncertainties, and assumptions, such as statements regarding our plans, objectives, expectations, intentions, and projections. Our actual results and the timing of selected events could differ materially from those described in or implied by these forward-looking statements as a result of several factors, including those set forth under “Risk Factors” and elsewhere in this prospectus. You should carefully read the “Risk Factors” section and the Cautionary Note Regarding Forward-Looking Statements as well as the risks and uncertainties set forth in this prospectus to gain an understanding of the important factors that could cause actual results to differ materially from our forward-looking statements.</w:t>
      </w:r>
    </w:p>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All amounts in this “Management’s Discussion and Analysis of Financial Condition and Results of Operations” are in thousands, except numbers of shares and per share amounts.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5"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We design, develop and sell components and systems for advanced wireless and wired connectivity, RF,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In July 2026, our Board of Directors approved the launch of our National Security Matters (“NSM”) Initiative, broadening our strategic focus to businesses that advance U.S. national security priorities, including critical resources; defense, aerospace and autonomous systems; energy, water and critical infrastructure; and digital infrastructure and strategic technologies. Consistent with this strategy, in July 2026 we announced our intention to change our corporate name to NSM Labs, Inc. In furtherance of the NSM Initiative, we have also entered into a definitive agreement to acquire Special Project Delivery, Inc., a company focused on U.S. supply chains for rare earth elements and critical minerals – an opportunity we have prioritized around assets that we believe advance U.S. national security, reduce single points of foreign dependency in critical supply chains, and are responsive to the priorities reflected in announced federal supply-chain, stockpile and defense initiatives, including the U.S. Strategic Critical Minerals Reserve (“Project Vault”), financed in part by the Export-Import Bank of the United States, the “Golden Dome” missile defense initiative, and the executive order on “Unleashing American Drone Dominance.” We believe these focus areas position us to help strengthen America’s defense industrial base and supply-chain resilience. We are not a party to, and have not been awarded any contract or funding under, any of these programs or initiatives, and there can be no assurance that we or any business we acquire will participate in or benefit from them. See “Recent Developments” below.</w:t>
      </w:r>
    </w:p>
    <w:p>
      <w:pPr>
        <w:spacing w:after="0" w:line="14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Our wireless systems solutions include products for advanced RF and mmWave 5G communications, mmWave imaging, software defined radio and custom RF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w:t>
      </w:r>
    </w:p>
    <w:p>
      <w:pPr>
        <w:spacing w:after="0" w:line="142"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We were founded with the goal of simplifying the development and maximizing the performance of mmWave wireless products by designing and developing high performance system-level solutions used for signal processing applications in wireless products. Since our inception, our corporate strategy has evolved to encompass the pursuit of acquisitions serving diverse industry sectors, including aerospace, military, defense, medical HiRel technology, as part of our commitment to enhancing communication services. We have developed and/or acquired an extensive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34" w:name="page35"/>
    <w:bookmarkEnd w:id="34"/>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December 21, 2023, we consummated the merger pursuant to the Business Combination Agreement by and among Merger Sub, and Legacy Mobix, pursuant to which, among other things, Merger Sub merged with and into Legacy Mobix, with Legacy Mobix surviving the merger as a wholly-owned direct subsidiary of Chavant. In connection with the Closing, Chavant changed its name from “Chavant Capital Acquisition Corp.” to “Mobix Labs, Inc.” and Legacy Mobix changed its name from “Mobix Labs, Inc.” to “Mobix Labs Operations, Inc.”</w:t>
      </w:r>
    </w:p>
    <w:p>
      <w:pPr>
        <w:spacing w:after="0" w:line="13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Throughout this discussion, unless otherwise noted or otherwise suggested by context, all references to “we,” “us” or “our” refer to Legacy Mobix prior to the consummation of the Merger, and to the Company and its subsidiaries after the consummation of the Merger.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 of Class B Shares</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Between August 21, 2026 and August 24, 2026, all holders of our Class B Common Stock delivered notice requesting that their outstanding balances of Class B Common Stock be converted into Class A Common Stock on a one-for-one basis. Following this conversion, there are no more shares of Class B Common Stock outstanding, and further issuances of Class B Common Stock can only be issued following an amendment to our Charter to allow for future issuances of Class B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Kips Financing</w:t>
      </w:r>
    </w:p>
    <w:p>
      <w:pPr>
        <w:spacing w:after="0" w:line="187"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On May 19, 2026, we entered into a Securities Purchase Agreement with Kips (the “May 2026 Purchase Agreement”), pursuant to which we agreed to sell to Kips (i) 2,000 shares of Series A Preferred Stock for aggregate gross proceeds of $2,400, and (ii) the May 2026 Preferred Warrant to purchase up to an additional 6,000 shares of Series A Preferred Stock at an exercise price of $1,000.00 per share. Dividends are payable in cash, or at our option, in additional shares of Series A Preferred Stock. The Preferred Shares are convertible into shares of our Class A Common Stock in accordance with the terms of the COD. In connection with the transaction, on May 19, 2026, we also entered into a registration rights agreement, as amended on June 18, 2026, with Kips (the “May 2026 Registration Rights Agreement”) pursuant to which we agreed to register the resale of shares of Class A Common Stock issuable upon conversion of the Preferred Shares and 294,117 shares of Class A Common Stock as consideration for extending the filing deadlines in the May 2026 Registration Rights Agreement. On August 28, 2026, we amended the May 2026 Registration Rights Agreement and the May 2026 Purchase Agreement to issue and sell to Kips an additional 1,000 shares of Series A Preferred Stock and the August 2026 Preferred Warrant to purchase 6,000 additional shares of Series A Preferred Stock. We are registering the resale of the shares of Class A Common Stock pursuant to this prospectus to comply with the amended May 2026 Registration Rights Agreement.</w:t>
      </w:r>
    </w:p>
    <w:p>
      <w:pPr>
        <w:spacing w:after="0" w:line="146"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As of October 14, 2026, Kips has exercised the Preferred Warrants to receive 2,200 shares of Series A Preferred Stock and has converted 4,959 shares of Series A Preferred Stock into 5,870,187 shares of Class A Common Stock. We received $2,200,000 of gross proceeds from the exercise of the Preferred Warrants. As of October 14, 2026, Kips has 241 shares of Series A Preferred Stock remaining and 9,800 shares of Series A Preferred Stock available upon conversion of the Preferred Warrants. If the remaining Preferred Warrants are exercised, we will receive $9,800,000 in gross proceeds.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Vision Aerial Merger Agreement</w:t>
      </w:r>
    </w:p>
    <w:p>
      <w:pPr>
        <w:spacing w:after="0" w:line="187"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On July 24, 2026, we entered into the Vision Aerial Merger Agreement which provided for our acquisition of Vision Aerial, Inc., a U.S.-based designer and manufacturer of unmanned aerial systems, for consideration consisting of (i) shares of our Class A Common Stock valued at $12,000, based on a 20-trading-day volume-weighted average price subject to a $2.00 floor and $3.00 cap per share, and (ii) $3,000 in cash, subject to customary adjustments and holdbacks. The Vision Aerial Merger Agreement was terminated by the parties on October 14, 2026. The termination followed delays in completing certain due diligence and financial reporting matters, including the receipt of financial and accounting information necessary to complete the audit process. The transaction was not consummated within the contemplated timeframe. The termination was amicable, and we maintain a positive relationship with Vision Aerial and remain open to exploring potential opportunities with Vision Aerial in the future.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Special Project Delivery Merger Agreement</w:t>
      </w:r>
    </w:p>
    <w:p>
      <w:pPr>
        <w:spacing w:after="0" w:line="187"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On August 13, 2026, we entered into a definitive merger agreement to acquire Special Project Delivery, Inc. for 4,800,000 shares of our Class A Common Stock. No shares will be issued unless and until our stockholders approve the issuance under Nasdaq Listing Rule 5635, and the closing is subject to that approval and other customary conditions. See Note 18 to our condensed consolidated financial statements. On September 30, 2026, SPD entered into a definitive business combination agreement to acquire Winner Water Services, Inc, a U.S. rare earth company (“Winner”), the closing of which is subject to customary approvals and conditions and is expected to close in connection with our acquisition of SPD.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Upcoming Annual Goodwill Impairment Test</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Our annual goodwill impairment assessment is performed each year as of July 31, 2026. Based on the preliminary results of our annual test for fiscal 2026, there are indications that the fair value of one of our reporting units does not exceed the carrying value and we expect to record a non-cash impairment charge in the fourth quarter of fiscal 2026. The amount of the impairment is not yet finalized, but we anticipate to be within the range of $0 to $5,500.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Results of Special Meeting of Stockholders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held a special meeting of stockholders on October 2, 2026. At the meeting, stockholders approved:</w:t>
      </w:r>
    </w:p>
    <w:p>
      <w:pPr>
        <w:spacing w:after="0" w:line="183" w:lineRule="exact"/>
        <w:rPr>
          <w:sz w:val="20"/>
          <w:szCs w:val="20"/>
          <w:color w:val="auto"/>
        </w:rPr>
      </w:pPr>
    </w:p>
    <w:p>
      <w:pPr>
        <w:ind w:left="1300" w:hanging="261"/>
        <w:spacing w:after="0" w:line="266" w:lineRule="auto"/>
        <w:tabs>
          <w:tab w:leader="none" w:pos="1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to our Certificate of Incorporation, as amended, to effect a reclassification and combination of our shares of Class A Common Stock that are issued and outstanding immediately prior to a further reverse stock split at a ratio between 1:2 and 1:20;</w:t>
      </w:r>
    </w:p>
    <w:p>
      <w:pPr>
        <w:spacing w:after="0" w:line="1" w:lineRule="exact"/>
        <w:rPr>
          <w:rFonts w:ascii="Times New Roman" w:cs="Times New Roman" w:eastAsia="Times New Roman" w:hAnsi="Times New Roman"/>
          <w:sz w:val="14"/>
          <w:szCs w:val="14"/>
          <w:color w:val="auto"/>
        </w:rPr>
      </w:pPr>
    </w:p>
    <w:p>
      <w:pPr>
        <w:ind w:left="1300" w:hanging="261"/>
        <w:spacing w:after="0"/>
        <w:tabs>
          <w:tab w:leader="none" w:pos="1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the number of shares available for issuance under our equity incentive award plan;</w:t>
      </w:r>
    </w:p>
    <w:p>
      <w:pPr>
        <w:spacing w:after="0" w:line="11" w:lineRule="exact"/>
        <w:rPr>
          <w:rFonts w:ascii="Times New Roman" w:cs="Times New Roman" w:eastAsia="Times New Roman" w:hAnsi="Times New Roman"/>
          <w:sz w:val="14"/>
          <w:szCs w:val="14"/>
          <w:color w:val="auto"/>
        </w:rPr>
      </w:pPr>
    </w:p>
    <w:p>
      <w:pPr>
        <w:ind w:left="1300" w:hanging="261"/>
        <w:spacing w:after="0"/>
        <w:tabs>
          <w:tab w:leader="none" w:pos="1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shares of our Class A Common Stock to Kips in connection with the conversion of the Series A Preferred Stock; and</w:t>
      </w:r>
    </w:p>
    <w:p>
      <w:pPr>
        <w:spacing w:after="0" w:line="11" w:lineRule="exact"/>
        <w:rPr>
          <w:rFonts w:ascii="Times New Roman" w:cs="Times New Roman" w:eastAsia="Times New Roman" w:hAnsi="Times New Roman"/>
          <w:sz w:val="14"/>
          <w:szCs w:val="14"/>
          <w:color w:val="auto"/>
        </w:rPr>
      </w:pPr>
    </w:p>
    <w:p>
      <w:pPr>
        <w:ind w:left="1300" w:hanging="261"/>
        <w:spacing w:after="0" w:line="273" w:lineRule="auto"/>
        <w:tabs>
          <w:tab w:leader="none" w:pos="1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shares of our Class A Common Stock to Leviston Resources, LLC (“Leviston”) in connection with the conversion of senior secured promissory notes in the aggregate principal amount of $5,200.</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i w:val="1"/>
          <w:iCs w:val="1"/>
          <w:color w:val="auto"/>
        </w:rPr>
        <w:t>March 2026 Convertible Promissory Note</w:t>
      </w:r>
    </w:p>
    <w:p>
      <w:pPr>
        <w:spacing w:after="0" w:line="18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On March 31, 2026, we entered into a securities purchase agreement with Leviston, pursuant to which we agreed to issue a senior secured convertible promissory note with a principal amount of $3,000. On May 13, 2026, we entered into a first amendment to the securities purchase agreement and promissory note with Leviston, amending the promissory note originally issued on March 31, 2026. Pursuant to the amendment, Leviston advanced an additional $833 to us, increasing the total funded amount under the original convertible note to $3,333. The amendment increased the aggregate principal amount of the original convertible note from $3,000 to $4,000. On May 18, 2026, we satisfied in full the entire $4,000 of outstanding principal under the convertible note, together with all accrued interest thereon, through the conversion of such amounts into 2,500,000 shares of Class A Common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Leviston Additional Notes</w:t>
      </w:r>
    </w:p>
    <w:p>
      <w:pPr>
        <w:spacing w:after="0" w:line="187"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May 13, 2026, we entered into the IRA with Leviston. Pursuant to the IRA, we granted Leviston the right, but not the obligation, to purchase one or more additional senior secured convertible notes from us during the seven-month period commencing May 13, 2026 and ending December 13, 2026, in an aggregate principal amount not to exceed $4,000.</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On May 18, 2026, we issued to Leviston the May 2026 Additional Note in the original principal amount of $1,200, for gross proceeds to us of approximately $1,000. On June 22, 2026, we issued to Leviston the June 2026 Additional Note in the original principal amount of $2,800, for gross proceeds to us of approximately $2,300. The notes mature on September 18, 2026 and October 22, 2026, respectively. Each note was issued as an Additional Note under the IRA. We also amended the registration rights agreement with Leviston relating to the resale registration of shares issuable upon conversion of the notes.</w:t>
      </w:r>
    </w:p>
    <w:p>
      <w:pPr>
        <w:spacing w:after="0" w:line="142"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August 28, 2026, we entered into an amendment to the securities purchase agreement entered into on March 31, 2026 with Leviston, pursuant to which we issued an additional senior secured convertible promissory note with a principal amount of $1,200 in favor of Leviston. In connection with this promissory note, we entered into a new investor rights agreement on August 28, 2026, which grants Leviston the right to purchase additional notes in an aggregate principal amount of up to $3,600.</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Conversion of Notes Payable</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August 13, 2026, an unrelated investor submitted a conversion notice to convert $150 of outstanding principal and accrued interest into 126,957 shares of Class A Common Stock at a conversion price of $1.18 per share. That conversion was rescinded on August 18, 2026, and was not completed. On August 31, 2026, that same investor submitted a conversion notice to convert $115 of outstanding principal and accrued interest into 125,272 shares of Class A Common Stock at a conversion price of $0.92 per share.</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Between September 1, 2026 and September 22, 2026, a separate unrelated investor converted portions of its outstanding convertible promissory notes, dated February 23, 2026 and March 17, 2026, in the original principal amount of $316 and 238, into an aggregate of 866,298 shares of our Class A Common Stock at conversion prices ranging from $0.81 to $0.64. Additionally, on September 2, 2026, September 9, 2026 and October 6, 2026, we entered into three securities purchase agreements agreeing to issue to the investor additional convertible notes in the principal amounts of $267 for each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National Security Matters Initiative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July 21, 2026, our Board of Directors approved the launch of the NSM Initiative described under “Overview” above, broadening our strategic focus to businesses that advance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national security priorities. If the acquisitions are completed, SPD and Winner will join the NSM Initiative.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Name Change</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July 27, 2026, we announced our intention to change our corporate name to NSM Labs, Inc., reflecting the expansion of our platform across national security markets. The name change is subject to stockholder approval. Until the change becomes effective, we will continue to operate as Mobix Labs, Inc., and our Class A Common Stock will continue to trade on Nasdaq under the symbol “MOBX.”</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Merger</w:t>
      </w:r>
    </w:p>
    <w:p>
      <w:pPr>
        <w:spacing w:after="0" w:line="185"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We accounted for the Merger as a reverse recapitalization. Under this method of accounting, Chavant is treated as the “acquired” company for financial reporting purposes. This determination was primarily based on holders of Legacy Mobix capital stock comprising a majority of the voting power of our common stock upon consummation of the Merger and having the ability to nominate the majority of our board of directors, Legacy Mobix’ senior management comprising our senior management, and Legacy Mobix’ operations comprising our ongoing operations. Accordingly, for accounting purposes, our financial statements represent a continuation of the financial statements of Legacy Mobix with the Merger being treated as the equivalent of Legacy Mobix issuing shares for the net assets of Chavant, accompanied by a recapitalization. We recognized the net assets of Chavant as of the Closing at historical cost, with no goodwill or other intangible assets recorded. Our operations prior to the Merger are presented as those of Legacy Mobix and the accumulated deficit of Legacy Mobix has been carried forward after Closing. All issued and outstanding securities of Chavant at the time of the Closing were treated as issuances of securities by us upon the consummation of the Merger.</w:t>
      </w:r>
    </w:p>
    <w:p>
      <w:pPr>
        <w:spacing w:after="0" w:line="14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As a result of the Merger, we raised gross proceeds of $21,014, including the contribution of $1,264 of cash held in Chavant’s trust account and the $19,750 private investment in public equity (“PIPE”) at $100.00 per share of Chavant’s Class A Common Stock. Our Class A Common Stock and Public Warrants began trading on Nasdaq under the symbols “MOBX” and “MOBXW,” respectively, on December 22, 2023.</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8"/>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June 30, 2026 and 2025</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Pr>
          <w:p>
            <w:pPr>
              <w:spacing w:after="0"/>
              <w:rPr>
                <w:sz w:val="24"/>
                <w:szCs w:val="24"/>
                <w:color w:val="auto"/>
              </w:rPr>
            </w:pPr>
          </w:p>
        </w:tc>
        <w:tc>
          <w:tcPr>
            <w:tcW w:w="304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24"/>
                <w:szCs w:val="24"/>
                <w:color w:val="auto"/>
              </w:rPr>
            </w:pPr>
          </w:p>
        </w:tc>
        <w:tc>
          <w:tcPr>
            <w:tcW w:w="164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529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1,503</w:t>
            </w: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(974)</w:t>
            </w: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3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847</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(587)</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net revenue</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3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3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655</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(127)</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3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346</w:t>
            </w:r>
          </w:p>
        </w:tc>
        <w:tc>
          <w:tcPr>
            <w:tcW w:w="360" w:type="dxa"/>
            <w:vAlign w:val="bottom"/>
          </w:tcPr>
          <w:p>
            <w:pPr>
              <w:spacing w:after="0"/>
              <w:rPr>
                <w:sz w:val="15"/>
                <w:szCs w:val="15"/>
                <w:color w:val="auto"/>
              </w:rPr>
            </w:pPr>
          </w:p>
        </w:tc>
        <w:tc>
          <w:tcPr>
            <w:tcW w:w="13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(187)</w:t>
            </w:r>
          </w:p>
        </w:tc>
        <w:tc>
          <w:tcPr>
            <w:tcW w:w="3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40" w:type="dxa"/>
            <w:vAlign w:val="bottom"/>
            <w:tcBorders>
              <w:top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cost of revenue</w:t>
            </w: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3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32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411</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486</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(75)</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7,045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8,208</w:t>
            </w:r>
          </w:p>
        </w:tc>
        <w:tc>
          <w:tcPr>
            <w:tcW w:w="360" w:type="dxa"/>
            <w:vAlign w:val="bottom"/>
          </w:tcPr>
          <w:p>
            <w:pPr>
              <w:spacing w:after="0"/>
              <w:rPr>
                <w:sz w:val="14"/>
                <w:szCs w:val="14"/>
                <w:color w:val="auto"/>
              </w:rPr>
            </w:pPr>
          </w:p>
        </w:tc>
        <w:tc>
          <w:tcPr>
            <w:tcW w:w="13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(1,163)</w:t>
            </w: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3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725</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(725)</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from operations</w:t>
            </w: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(7,354)</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(8,070)</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716</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868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547</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321</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3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(210)</w:t>
            </w:r>
          </w:p>
        </w:tc>
        <w:tc>
          <w:tcPr>
            <w:tcW w:w="360" w:type="dxa"/>
            <w:vAlign w:val="bottom"/>
          </w:tcPr>
          <w:p>
            <w:pPr>
              <w:spacing w:after="0"/>
              <w:rPr>
                <w:sz w:val="14"/>
                <w:szCs w:val="14"/>
                <w:color w:val="auto"/>
              </w:rPr>
            </w:pPr>
          </w:p>
        </w:tc>
        <w:tc>
          <w:tcPr>
            <w:tcW w:w="13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210</w:t>
            </w: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(612)</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504</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Financing costs expensed</w:t>
            </w:r>
          </w:p>
        </w:tc>
        <w:tc>
          <w:tcPr>
            <w:tcW w:w="3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443</w:t>
            </w:r>
          </w:p>
        </w:tc>
        <w:tc>
          <w:tcPr>
            <w:tcW w:w="360" w:type="dxa"/>
            <w:vAlign w:val="bottom"/>
          </w:tcPr>
          <w:p>
            <w:pPr>
              <w:spacing w:after="0"/>
              <w:rPr>
                <w:sz w:val="14"/>
                <w:szCs w:val="14"/>
                <w:color w:val="auto"/>
              </w:rPr>
            </w:pPr>
          </w:p>
        </w:tc>
        <w:tc>
          <w:tcPr>
            <w:tcW w:w="13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157</w:t>
            </w: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notes payable</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on extinguishment of notes payable</w:t>
            </w:r>
          </w:p>
        </w:tc>
        <w:tc>
          <w:tcPr>
            <w:tcW w:w="3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3,791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17</w:t>
            </w:r>
          </w:p>
        </w:tc>
        <w:tc>
          <w:tcPr>
            <w:tcW w:w="360" w:type="dxa"/>
            <w:vAlign w:val="bottom"/>
          </w:tcPr>
          <w:p>
            <w:pPr>
              <w:spacing w:after="0"/>
              <w:rPr>
                <w:sz w:val="14"/>
                <w:szCs w:val="14"/>
                <w:color w:val="auto"/>
              </w:rPr>
            </w:pPr>
          </w:p>
        </w:tc>
        <w:tc>
          <w:tcPr>
            <w:tcW w:w="13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3,774</w:t>
            </w: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22,201%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issuance of preferred shares and liability-classified warrants</w:t>
            </w: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3,707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3,707</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non-operating losses, net</w:t>
            </w:r>
          </w:p>
        </w:tc>
        <w:tc>
          <w:tcPr>
            <w:tcW w:w="3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553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19</w:t>
            </w:r>
          </w:p>
        </w:tc>
        <w:tc>
          <w:tcPr>
            <w:tcW w:w="360" w:type="dxa"/>
            <w:vAlign w:val="bottom"/>
          </w:tcPr>
          <w:p>
            <w:pPr>
              <w:spacing w:after="0"/>
              <w:rPr>
                <w:sz w:val="15"/>
                <w:szCs w:val="15"/>
                <w:color w:val="auto"/>
              </w:rPr>
            </w:pPr>
          </w:p>
        </w:tc>
        <w:tc>
          <w:tcPr>
            <w:tcW w:w="13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534</w:t>
            </w:r>
          </w:p>
        </w:tc>
        <w:tc>
          <w:tcPr>
            <w:tcW w:w="3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2,810%</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5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3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(16,792)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(8,274)</w:t>
            </w:r>
          </w:p>
        </w:tc>
        <w:tc>
          <w:tcPr>
            <w:tcW w:w="360" w:type="dxa"/>
            <w:vAlign w:val="bottom"/>
          </w:tcPr>
          <w:p>
            <w:pPr>
              <w:spacing w:after="0"/>
              <w:rPr>
                <w:sz w:val="14"/>
                <w:szCs w:val="14"/>
                <w:color w:val="auto"/>
              </w:rPr>
            </w:pPr>
          </w:p>
        </w:tc>
        <w:tc>
          <w:tcPr>
            <w:tcW w:w="13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(8,518)</w:t>
            </w: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3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(16,795)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(8,272)</w:t>
            </w: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(8,523)</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28</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75" w:right="31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Nine Months Ended June 30, 2026 and 2025</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300" w:type="dxa"/>
            <w:vAlign w:val="bottom"/>
          </w:tcPr>
          <w:p>
            <w:pPr>
              <w:spacing w:after="0"/>
              <w:rPr>
                <w:sz w:val="24"/>
                <w:szCs w:val="24"/>
                <w:color w:val="auto"/>
              </w:rPr>
            </w:pPr>
          </w:p>
        </w:tc>
        <w:tc>
          <w:tcPr>
            <w:tcW w:w="3040" w:type="dxa"/>
            <w:vAlign w:val="bottom"/>
            <w:gridSpan w:val="6"/>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360" w:type="dxa"/>
            <w:vAlign w:val="bottom"/>
          </w:tcPr>
          <w:p>
            <w:pPr>
              <w:spacing w:after="0"/>
              <w:rPr>
                <w:sz w:val="24"/>
                <w:szCs w:val="24"/>
                <w:color w:val="auto"/>
              </w:rPr>
            </w:pPr>
          </w:p>
        </w:tc>
        <w:tc>
          <w:tcPr>
            <w:tcW w:w="164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2,533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4,911</w:t>
            </w: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(2,378)</w:t>
            </w: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3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1,101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3,119</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(2,018)</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 net revenue</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8,030</w:t>
            </w:r>
          </w:p>
        </w:tc>
        <w:tc>
          <w:tcPr>
            <w:tcW w:w="3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(4,396)</w:t>
            </w:r>
          </w:p>
        </w:tc>
        <w:tc>
          <w:tcPr>
            <w:tcW w:w="3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1,933</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2,912</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(979)</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3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834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1,062</w:t>
            </w:r>
          </w:p>
        </w:tc>
        <w:tc>
          <w:tcPr>
            <w:tcW w:w="360" w:type="dxa"/>
            <w:vAlign w:val="bottom"/>
          </w:tcPr>
          <w:p>
            <w:pPr>
              <w:spacing w:after="0"/>
              <w:rPr>
                <w:sz w:val="15"/>
                <w:szCs w:val="15"/>
                <w:color w:val="auto"/>
              </w:rPr>
            </w:pPr>
          </w:p>
        </w:tc>
        <w:tc>
          <w:tcPr>
            <w:tcW w:w="13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(228)</w:t>
            </w:r>
          </w:p>
        </w:tc>
        <w:tc>
          <w:tcPr>
            <w:tcW w:w="3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40" w:type="dxa"/>
            <w:vAlign w:val="bottom"/>
            <w:tcBorders>
              <w:top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cost of revenue</w:t>
            </w: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3,974</w:t>
            </w:r>
          </w:p>
        </w:tc>
        <w:tc>
          <w:tcPr>
            <w:tcW w:w="3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320" w:type="dxa"/>
            <w:vAlign w:val="bottom"/>
            <w:tcBorders>
              <w:top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1,281</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1,816</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(535)</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21,864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32,043</w:t>
            </w:r>
          </w:p>
        </w:tc>
        <w:tc>
          <w:tcPr>
            <w:tcW w:w="360" w:type="dxa"/>
            <w:vAlign w:val="bottom"/>
          </w:tcPr>
          <w:p>
            <w:pPr>
              <w:spacing w:after="0"/>
              <w:rPr>
                <w:sz w:val="14"/>
                <w:szCs w:val="14"/>
                <w:color w:val="auto"/>
              </w:rPr>
            </w:pPr>
          </w:p>
        </w:tc>
        <w:tc>
          <w:tcPr>
            <w:tcW w:w="13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(10,179)</w:t>
            </w: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3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725</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(725)</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from operations</w:t>
            </w: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(22,278)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(30,528)</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8,250</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3,637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1,032</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2,605</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3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(960)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(490)</w:t>
            </w:r>
          </w:p>
        </w:tc>
        <w:tc>
          <w:tcPr>
            <w:tcW w:w="360" w:type="dxa"/>
            <w:vAlign w:val="bottom"/>
          </w:tcPr>
          <w:p>
            <w:pPr>
              <w:spacing w:after="0"/>
              <w:rPr>
                <w:sz w:val="14"/>
                <w:szCs w:val="14"/>
                <w:color w:val="auto"/>
              </w:rPr>
            </w:pPr>
          </w:p>
        </w:tc>
        <w:tc>
          <w:tcPr>
            <w:tcW w:w="13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(470)</w:t>
            </w: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(1,237)</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1,557</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Financing costs expensed</w:t>
            </w:r>
          </w:p>
        </w:tc>
        <w:tc>
          <w:tcPr>
            <w:tcW w:w="3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443</w:t>
            </w:r>
          </w:p>
        </w:tc>
        <w:tc>
          <w:tcPr>
            <w:tcW w:w="360" w:type="dxa"/>
            <w:vAlign w:val="bottom"/>
          </w:tcPr>
          <w:p>
            <w:pPr>
              <w:spacing w:after="0"/>
              <w:rPr>
                <w:sz w:val="14"/>
                <w:szCs w:val="14"/>
                <w:color w:val="auto"/>
              </w:rPr>
            </w:pPr>
          </w:p>
        </w:tc>
        <w:tc>
          <w:tcPr>
            <w:tcW w:w="13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157</w:t>
            </w: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notes payable</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on extinguishment of notes payable</w:t>
            </w:r>
          </w:p>
        </w:tc>
        <w:tc>
          <w:tcPr>
            <w:tcW w:w="3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4,218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300</w:t>
            </w:r>
          </w:p>
        </w:tc>
        <w:tc>
          <w:tcPr>
            <w:tcW w:w="360" w:type="dxa"/>
            <w:vAlign w:val="bottom"/>
          </w:tcPr>
          <w:p>
            <w:pPr>
              <w:spacing w:after="0"/>
              <w:rPr>
                <w:sz w:val="14"/>
                <w:szCs w:val="14"/>
                <w:color w:val="auto"/>
              </w:rPr>
            </w:pPr>
          </w:p>
        </w:tc>
        <w:tc>
          <w:tcPr>
            <w:tcW w:w="13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3,918</w:t>
            </w: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issuance of preferred shares and liability-classified warrants</w:t>
            </w:r>
          </w:p>
        </w:tc>
        <w:tc>
          <w:tcPr>
            <w:tcW w:w="3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3,707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3,707</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non-operating gains (losses), net</w:t>
            </w:r>
          </w:p>
        </w:tc>
        <w:tc>
          <w:tcPr>
            <w:tcW w:w="30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(1,036)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(165)</w:t>
            </w:r>
          </w:p>
        </w:tc>
        <w:tc>
          <w:tcPr>
            <w:tcW w:w="360" w:type="dxa"/>
            <w:vAlign w:val="bottom"/>
          </w:tcPr>
          <w:p>
            <w:pPr>
              <w:spacing w:after="0"/>
              <w:rPr>
                <w:sz w:val="15"/>
                <w:szCs w:val="15"/>
                <w:color w:val="auto"/>
              </w:rPr>
            </w:pPr>
          </w:p>
        </w:tc>
        <w:tc>
          <w:tcPr>
            <w:tcW w:w="13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(871)</w:t>
            </w:r>
          </w:p>
        </w:tc>
        <w:tc>
          <w:tcPr>
            <w:tcW w:w="3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5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3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(32,791)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(30,411)</w:t>
            </w:r>
          </w:p>
        </w:tc>
        <w:tc>
          <w:tcPr>
            <w:tcW w:w="360" w:type="dxa"/>
            <w:vAlign w:val="bottom"/>
          </w:tcPr>
          <w:p>
            <w:pPr>
              <w:spacing w:after="0"/>
              <w:rPr>
                <w:sz w:val="14"/>
                <w:szCs w:val="14"/>
                <w:color w:val="auto"/>
              </w:rPr>
            </w:pPr>
          </w:p>
        </w:tc>
        <w:tc>
          <w:tcPr>
            <w:tcW w:w="13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(2,380)</w:t>
            </w: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3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(9)</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3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(32,773)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(30,402)</w:t>
            </w:r>
          </w:p>
        </w:tc>
        <w:tc>
          <w:tcPr>
            <w:tcW w:w="360" w:type="dxa"/>
            <w:vAlign w:val="bottom"/>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(2,371)</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Revenue</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nine months ended June 30, 2026 and 2025). Sales and other taxes we collect, if any, are excluded from net revenue. We include shipping and handling fees we bill to customers as part of net revenue. We include shipping and handling costs associated with outbound freight in cost of product revenue.</w:t>
      </w:r>
    </w:p>
    <w:p>
      <w:pPr>
        <w:spacing w:after="0" w:line="142"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Our net revenue fluctuates based on a variety of factors, including the timing of the receipt of product orders or contracts from our customers, product mix, competition, global economic conditions, and other factors.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38" w:name="page39"/>
    <w:bookmarkEnd w:id="38"/>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Product revenue was $529 for the three months ended June 30, 2026 compared to $1,503 for the three months ended June 30, 2025, a decrease of $974 or 65%. The change is principally driven by a drop in sales of our filtered connectors products.</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For the nine months ended June 30, 2026, product revenue was $2,533 compared to $4,911 for the nine months ended June 30, 2025, a decrease of $2,378 or 48%. The change reflects a delay in shipments of our radar and imaging sensor products, which began to resume near the end of the three months ended June 30, 2026.</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Services revenue was $260 for the three months ended June 30, 2026 compared to $847 for the three months ended June 30, 2025, a decrease of $587 or 69%. The decrease is primarily attributable to reduced project activity with a customer that began to slow in advance of the customer’s April 2026 announcement that it intends to contribute the division with which we principally engage to a newly formed joint venture expected to close in the third quarter of calendar year 2026; we anticipate project activity will begin to recover within approximately three to six months following the closing, although there can be no assurance regarding the timing or completion of the transaction or that activity with the successor entity will resume at historical levels.</w:t>
      </w:r>
    </w:p>
    <w:p>
      <w:pPr>
        <w:spacing w:after="0" w:line="142"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For the nine months ended June 30, 2026, services revenue was $1,101 compared to $3,119 for the nine months ended June 30, 2025, a decrease of $2,018 or 65%. The decrease is primarily attributable to the same reduction in project activity with the customer described above, which affected a larger portion of the current nine-month period as project activity began to slow in advance of the customer’s April 2026 announcement. The decrease also reflects performance under a relatively large service contract with this customer during the nine months ended June 30, 2025, which elevated services revenue in the prior-year period and did not recur in the current-year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Cost of services revenue principally consists of employee compensation and benefits of employees engaged in the delivery of engineering services, along with any related materials, equipment, supplies or other costs to perform a contract.</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Cost of product revenue was $528 for the three months ended June 30, 2026 compared to $655 for the three months ended June 30, 2025, a decrease of $127 or 19%. The change principally reflects the lower shipments of our wireless systems solutions products noted above.</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Cost of services revenue was $159 for the three months ended June 30, 2026 compared to $346 for the three months ended June 30, 2025, a decrease of $187, or 54%. The decrease is primarily attributable to lower direct labor and related compensation and benefits costs resulting from the reduced project activity with the customer described under “Services Revenue” above. Cost of services revenue decreased at a lower rate than the related revenue due to certain fixed costs within our services operations that do not vary with project activity, which adversely affected our services gross margin for the period.</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Cost of product revenue was $1,933 for the nine months ended June 30, 2026 compared to $2,912 for the nine months ended June 30, 2025, a decrease of $979 or 34%. The change principally reflects the lower shipments of our wireless systems solutions products noted above.</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Cost of service revenue was $834 for the nine months ended June 30, 2026 compared to $1,062 for the nine months ended June 30, 2025, a decrease of $228 or 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Research and development expenses were $411 for the three months ended June 30, 2026 compared to $486 for the three months ended June 30, 2025, a decrease of $75 or 15%. The decrease primarily relates to lower stock-based compensation expense.</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Research and development expenses were $1,281 for the nine months ended June 30, 2026 compared to $1,816 for the nine months ended June 30, 2025, a decrease of $535 or 29%. The decrease reflects lower costs for employee compensation and benefits and other costs as part of the Company’s ongoing cost management efforts.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spacing w:after="0" w:line="13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Selling, general and administrative expenses were $7,045 for the three months ended June 30, 2026 compared to $8,208 for the three months ended June 30, 2025, a decrease of $1,163 or 14%. The change principally reflects a decrease in stock-based compensation expense.</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Selling, general and administrative expenses were $21,864 for the nine months ended June 30, 2026 compared to $32,043 for the nine months ended June 30, 2025, a decrease of $10,179 or 32%. The decrease was primarily attributable to lower stock-based compensation expense, which included $6,917 recognized in the nine months ended June 30, 2025 in connection with the acceleration of vesting of certain awards, with no comparable expense in the current-year period. The decrease also reflects lower professional services costs and lower employee compensation and benefits as a result of the Company’s ongoing cost reduction initiatives.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Interest expense consists of cash and non-cash interest related to our related and unrelated party promissory notes, notes payable and convertible notes.</w:t>
      </w:r>
    </w:p>
    <w:p>
      <w:pPr>
        <w:spacing w:after="0" w:line="18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Interest expense was $868 for the three months ended June 30, 2026 compared to $547 for the three months ended June 30, 2025, an increase of $321 or 59%. The increase reflects higher outstanding borrowings and higher interest rates on borrowings during the three months ended June 30, 2026.</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Interest expense was $3,637 for the nine months ended June 30, 2026 compared to $1,032 for the nine months ended June 30, 2025, an increase of $2,605 or 252%. The increase reflects higher outstanding borrowings and higher interest rates on borrowings during the nine months ended June 30,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Earnout Liability</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Certain Mobix stockholders and certain holders of Mobix stock options will be entitled to receive an additional aggregate 350,000 shares of our Class A Common Stock (“Earnout Shares”) based on the achievement of trading price targets over a period extending to December 2030.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w:t>
      </w:r>
    </w:p>
    <w:p>
      <w:pPr>
        <w:spacing w:after="0" w:line="142"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As of June 30, 2026, none of the conditions for the issuance of any earnout shares had been achieved and we adjusted the carrying amount of the earnout liability to its estimated fair value of $280. As a result of changes in the estimated fair value of the liability, we recognized non-cash gains of $0 and $210 for the three months ended June 30, 2026 and 2025, respectively, and non-cash gains of $960 and $490 for the nine months ended June 30, 2026 and 2025, respectively.</w:t>
      </w:r>
    </w:p>
    <w:p>
      <w:pPr>
        <w:spacing w:after="0" w:line="13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fair value of the earnout liability is based on a number of factors, including changes in the market price of our Class A Common Stock. We have experienced significant fluctuations in the market price of our Class A Common Stock, and may experience significant fluctuations in the future. Such price fluctuations will increase or decrease the value of the earnout liability, and we may be required to recognize additional losses or gains in our statements of operations and comprehensive loss, the amounts of which may be substantial.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Warrants</w:t>
      </w:r>
    </w:p>
    <w:p>
      <w:pPr>
        <w:spacing w:after="0" w:line="18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We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our common stock and were classified as liabilities. At their respective dates of issuance, we recognized a liability for each of the liability-classified warrants in the amount of its estimated fair value using the Black-Scholes option-pricing model. We subsequently adjust the carrying amount of the liability for each warrant to its estimated fair value as of the end of each reporting period (or through the warrants’ respective dates of exercise or modification, if earlier).</w:t>
      </w:r>
    </w:p>
    <w:p>
      <w:pPr>
        <w:spacing w:after="0" w:line="144"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 xml:space="preserve">On October 24, 2025, we entered into amendments to certain liability-classified warrants to purchase an aggregate of 1,337,549 shares of our Class A Common Stock. The amendments revised certain terms of the warrants, including terms that could potentially require cash settlement, such that under the guidance in ASC Topic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xml:space="preserve"> and ASC Topic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the warrants are equity-classified financial instruments. The amendments did not affect any terms of the warrants that are inputs into the estimation of the fair value of warrants under the Black-Scholes option pricing model, which we use to estimate the fair value of warrants.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40" w:name="page41"/>
    <w:bookmarkEnd w:id="40"/>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As a result of the amendments to the warrants, we remeasured the related liabilities to their estimated fair value of $6,912 as of the date of the amendments and we reclassified this amount from “Liability-classified warrants” to “Additional paid-in capital” in the condensed consolidated balance sheet. As consideration for these amendments, we issued the warrant holder an additional warrant to purchase 100,000 shares of our Class A Common Stock at a price of $10.80 per share. We recognized the $514 fair value of the additional warrant as an expense, included in “Other non-operating losses, net” in the condensed consolidated statements of operations and comprehensive loss for the nine months ended June 30, 2026.</w:t>
      </w:r>
    </w:p>
    <w:p>
      <w:pPr>
        <w:spacing w:after="0" w:line="142"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As a result of changes in the fair value of liability-classified warrants outstanding during the periods, for the three months ended June 30, 2026 and 2025, we recognized net non-cash gains of $108 and net non-cash gains of $612, respectively. For the nine months ended June 30, 2026 and 2025, we recognized net non-cash losses of $320 and net non-cash gains of $1,237, respectively, which are included in “Change in fair value of warrants” in the condensed consolidated statements of operations and comprehensive loss.</w:t>
      </w:r>
    </w:p>
    <w:p>
      <w:pPr>
        <w:spacing w:after="0" w:line="13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As of June 30, 2026 and September 30, 2025, the related liabilities of $3,047 and $6,859, respectively, are included in “Liability-classified warrants” in the condensed consolidated balance sheet.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Costs Expensed</w:t>
      </w:r>
    </w:p>
    <w:p>
      <w:pPr>
        <w:spacing w:after="0" w:line="185"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In April 2025, we entered into a securities purchase agreement with an institutional accredited investor, pursuant to which it issued 385,000 shares of Class A Common Stock, a pre-funded warrant to purchase up to 102,686 shares of Class A Common Stock and common stock warrants to purchase up to 487,686 shares of our Class A Common Stock (together, the “April 2025 Offering”). Private placement costs of $443 for the three months and nine months ended June 30, 2025 represent costs incurred in connection with the April 2025 Offering. The costs consist of outside professional fees and the value of warrants to purchase shares of our Class A Common Stock issued to the placement agent. We allocated the total costs among the liability-classified and equity-classified securities we issued in the April 2025 Offering. The portion of such costs allocated to liability-classified securities is included in “Private Placement Costs Expensed” in the unaudited condensed consolidated statements of operations and comprehensive loss. Additional information relating to the April 2025 Offering can be found in the notes to our unaudited condensed consolidated financial statements included herein.</w:t>
      </w:r>
    </w:p>
    <w:p>
      <w:pPr>
        <w:spacing w:after="0" w:line="14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On June 18, 2026, we entered into Amendment No. 1 to the Registration Rights Agreement with Kips, pursuant to which the filing and effectiveness deadlines were extended and prior remedies were waived. As a non-refundable registration-extension fee, fully earned upon execution, we issued 294,117 shares of Class A Common Stock (the “Extension Shares”) on July 17, 2026, valued at $600 based on a price of $2.04 per share, which exceeded the Nasdaq Listing Rule 5635(d) Minimum Price of $2.036. Our registration statement on Form S-1 (File No. 333-296928) was filed June 22, 2026 and declared effective July 16, 2026. We recorded a charge of $600 in the three months ended June 30, 2026 with respect to the Extension Shares, which was recorded in financing costs expensed in the condensed consolidated statements of operations and comprehensive loss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Non-Operating (Gains) Losses, Net</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For the three months ended June 30, 2026, other non-operating losses, net of $553 principally consist of losses on the settlements of certain other liabilities in shares of our Class A Common Stock. For the nine months ended June 30, 2026, other non-operating gains, net of $1,036 principally consist of gains on the settlements of certain other liabilities in shares of our Class A Common Stock.</w:t>
      </w:r>
    </w:p>
    <w:p>
      <w:pPr>
        <w:spacing w:after="0" w:line="13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For the three months ended June 30, 2025, other non-operating losses, net of $19 consist of a loss from the increase in the fair value of a derivative liability. For the nine months ended June 30, 2025, other non-operating gains, net of $165 principally consist of net gains recognized upon the settlement of liabilities in shares of our Class A Common Stock.</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color w:val="auto"/>
        </w:rPr>
        <w:t>Income Tax Provision / Benefit</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spacing w:after="0" w:line="142"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For the three months and nine months ended June 30, 2026, and for the three and nine months ended June 30, 2025, our provision (benefit) for income taxes differs from an amount calculated based on statutory tax rates principally due to our recording a valuation allowance against the net operating losses we generated during the period because we did not expect that the deferred tax asset arising from our pretax book losses would be realized in the future.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Year Ended September 30, 2025 and 2024</w:t>
            </w: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820" w:type="dxa"/>
            <w:vAlign w:val="bottom"/>
          </w:tcPr>
          <w:p>
            <w:pPr>
              <w:spacing w:after="0"/>
              <w:rPr>
                <w:sz w:val="16"/>
                <w:szCs w:val="16"/>
                <w:color w:val="auto"/>
              </w:rPr>
            </w:pPr>
          </w:p>
        </w:tc>
        <w:tc>
          <w:tcPr>
            <w:tcW w:w="124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w:t>
            </w: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Product</w:t>
            </w:r>
          </w:p>
        </w:tc>
        <w:tc>
          <w:tcPr>
            <w:tcW w:w="820" w:type="dxa"/>
            <w:vAlign w:val="bottom"/>
          </w:tcPr>
          <w:p>
            <w:pPr>
              <w:jc w:val="right"/>
              <w:ind w:right="699"/>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5,996</w:t>
            </w:r>
          </w:p>
        </w:tc>
        <w:tc>
          <w:tcPr>
            <w:tcW w:w="5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5,890</w:t>
            </w: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106</w:t>
            </w: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8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3,916</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552</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3,364</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Total net revenue</w:t>
            </w: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9,912</w:t>
            </w: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6,442</w:t>
            </w:r>
          </w:p>
        </w:tc>
        <w:tc>
          <w:tcPr>
            <w:tcW w:w="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3,470</w:t>
            </w:r>
          </w:p>
        </w:tc>
        <w:tc>
          <w:tcPr>
            <w:tcW w:w="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8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3,563</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3,752</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(189)</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820" w:type="dxa"/>
            <w:vAlign w:val="bottom"/>
          </w:tcPr>
          <w:p>
            <w:pPr>
              <w:spacing w:after="0"/>
              <w:rPr>
                <w:sz w:val="15"/>
                <w:szCs w:val="15"/>
                <w:color w:val="auto"/>
              </w:rPr>
            </w:pPr>
          </w:p>
        </w:tc>
        <w:tc>
          <w:tcPr>
            <w:tcW w:w="7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1,342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138</w:t>
            </w:r>
          </w:p>
        </w:tc>
        <w:tc>
          <w:tcPr>
            <w:tcW w:w="360" w:type="dxa"/>
            <w:vAlign w:val="bottom"/>
          </w:tcPr>
          <w:p>
            <w:pPr>
              <w:spacing w:after="0"/>
              <w:rPr>
                <w:sz w:val="15"/>
                <w:szCs w:val="15"/>
                <w:color w:val="auto"/>
              </w:rPr>
            </w:pPr>
          </w:p>
        </w:tc>
        <w:tc>
          <w:tcPr>
            <w:tcW w:w="13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1,204</w:t>
            </w:r>
          </w:p>
        </w:tc>
        <w:tc>
          <w:tcPr>
            <w:tcW w:w="3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40" w:type="dxa"/>
            <w:vAlign w:val="bottom"/>
            <w:tcBorders>
              <w:top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cost of revenue</w:t>
            </w:r>
          </w:p>
        </w:tc>
        <w:tc>
          <w:tcPr>
            <w:tcW w:w="82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4,905</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3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3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Gross profit</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2,419</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5,779</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(3,360)</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20" w:type="dxa"/>
            <w:vAlign w:val="bottom"/>
          </w:tcPr>
          <w:p>
            <w:pPr>
              <w:spacing w:after="0"/>
              <w:rPr>
                <w:sz w:val="14"/>
                <w:szCs w:val="14"/>
                <w:color w:val="auto"/>
              </w:rPr>
            </w:pPr>
          </w:p>
        </w:tc>
        <w:tc>
          <w:tcPr>
            <w:tcW w:w="7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39,556</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41,835</w:t>
            </w:r>
          </w:p>
        </w:tc>
        <w:tc>
          <w:tcPr>
            <w:tcW w:w="360" w:type="dxa"/>
            <w:vAlign w:val="bottom"/>
          </w:tcPr>
          <w:p>
            <w:pPr>
              <w:spacing w:after="0"/>
              <w:rPr>
                <w:sz w:val="14"/>
                <w:szCs w:val="14"/>
                <w:color w:val="auto"/>
              </w:rPr>
            </w:pPr>
          </w:p>
        </w:tc>
        <w:tc>
          <w:tcPr>
            <w:tcW w:w="13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(2,279)</w:t>
            </w: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8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725</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1,333</w:t>
            </w:r>
          </w:p>
        </w:tc>
        <w:tc>
          <w:tcPr>
            <w:tcW w:w="3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(608)</w:t>
            </w: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74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Loss from operations</w:t>
            </w:r>
          </w:p>
        </w:tc>
        <w:tc>
          <w:tcPr>
            <w:tcW w:w="8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(37,693)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(46,395)</w:t>
            </w:r>
          </w:p>
        </w:tc>
        <w:tc>
          <w:tcPr>
            <w:tcW w:w="3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8,702</w:t>
            </w:r>
          </w:p>
        </w:tc>
        <w:tc>
          <w:tcPr>
            <w:tcW w:w="3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20" w:type="dxa"/>
            <w:vAlign w:val="bottom"/>
          </w:tcPr>
          <w:p>
            <w:pPr>
              <w:spacing w:after="0"/>
              <w:rPr>
                <w:sz w:val="14"/>
                <w:szCs w:val="14"/>
                <w:color w:val="auto"/>
              </w:rPr>
            </w:pPr>
          </w:p>
        </w:tc>
        <w:tc>
          <w:tcPr>
            <w:tcW w:w="7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2,325</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1,582</w:t>
            </w:r>
          </w:p>
        </w:tc>
        <w:tc>
          <w:tcPr>
            <w:tcW w:w="360" w:type="dxa"/>
            <w:vAlign w:val="bottom"/>
          </w:tcPr>
          <w:p>
            <w:pPr>
              <w:spacing w:after="0"/>
              <w:rPr>
                <w:sz w:val="14"/>
                <w:szCs w:val="14"/>
                <w:color w:val="auto"/>
              </w:rPr>
            </w:pPr>
          </w:p>
        </w:tc>
        <w:tc>
          <w:tcPr>
            <w:tcW w:w="13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743</w:t>
            </w: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8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(440)</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(31,879)</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31,439</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820" w:type="dxa"/>
            <w:vAlign w:val="bottom"/>
          </w:tcPr>
          <w:p>
            <w:pPr>
              <w:spacing w:after="0"/>
              <w:rPr>
                <w:sz w:val="14"/>
                <w:szCs w:val="14"/>
                <w:color w:val="auto"/>
              </w:rPr>
            </w:pPr>
          </w:p>
        </w:tc>
        <w:tc>
          <w:tcPr>
            <w:tcW w:w="7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(804)</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(1,415)</w:t>
            </w:r>
          </w:p>
        </w:tc>
        <w:tc>
          <w:tcPr>
            <w:tcW w:w="360" w:type="dxa"/>
            <w:vAlign w:val="bottom"/>
          </w:tcPr>
          <w:p>
            <w:pPr>
              <w:spacing w:after="0"/>
              <w:rPr>
                <w:sz w:val="14"/>
                <w:szCs w:val="14"/>
                <w:color w:val="auto"/>
              </w:rPr>
            </w:pPr>
          </w:p>
        </w:tc>
        <w:tc>
          <w:tcPr>
            <w:tcW w:w="13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611</w:t>
            </w: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PIPE make-whole liability</w:t>
            </w:r>
          </w:p>
        </w:tc>
        <w:tc>
          <w:tcPr>
            <w:tcW w:w="8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(830)</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830</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Merger-related transaction costs expensed</w:t>
            </w:r>
          </w:p>
        </w:tc>
        <w:tc>
          <w:tcPr>
            <w:tcW w:w="820" w:type="dxa"/>
            <w:vAlign w:val="bottom"/>
          </w:tcPr>
          <w:p>
            <w:pPr>
              <w:spacing w:after="0"/>
              <w:rPr>
                <w:sz w:val="14"/>
                <w:szCs w:val="14"/>
                <w:color w:val="auto"/>
              </w:rPr>
            </w:pPr>
          </w:p>
        </w:tc>
        <w:tc>
          <w:tcPr>
            <w:tcW w:w="7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4,009</w:t>
            </w:r>
          </w:p>
        </w:tc>
        <w:tc>
          <w:tcPr>
            <w:tcW w:w="360" w:type="dxa"/>
            <w:vAlign w:val="bottom"/>
          </w:tcPr>
          <w:p>
            <w:pPr>
              <w:spacing w:after="0"/>
              <w:rPr>
                <w:sz w:val="14"/>
                <w:szCs w:val="14"/>
                <w:color w:val="auto"/>
              </w:rPr>
            </w:pPr>
          </w:p>
        </w:tc>
        <w:tc>
          <w:tcPr>
            <w:tcW w:w="13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(4,009)</w:t>
            </w: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costs expensed</w:t>
            </w:r>
          </w:p>
        </w:tc>
        <w:tc>
          <w:tcPr>
            <w:tcW w:w="8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7,266</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2,894</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4,372</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non-operating losses, net</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1,707</w:t>
            </w:r>
          </w:p>
        </w:tc>
        <w:tc>
          <w:tcPr>
            <w:tcW w:w="360" w:type="dxa"/>
            <w:vAlign w:val="bottom"/>
          </w:tcPr>
          <w:p>
            <w:pPr>
              <w:spacing w:after="0"/>
              <w:rPr>
                <w:sz w:val="14"/>
                <w:szCs w:val="14"/>
                <w:color w:val="auto"/>
              </w:rPr>
            </w:pPr>
          </w:p>
        </w:tc>
        <w:tc>
          <w:tcPr>
            <w:tcW w:w="13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(1,623)</w:t>
            </w:r>
          </w:p>
        </w:tc>
        <w:tc>
          <w:tcPr>
            <w:tcW w:w="3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8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(46,124)</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(22,463)</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(23,661)</w:t>
            </w:r>
          </w:p>
        </w:tc>
        <w:tc>
          <w:tcPr>
            <w:tcW w:w="3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820" w:type="dxa"/>
            <w:vAlign w:val="bottom"/>
          </w:tcPr>
          <w:p>
            <w:pPr>
              <w:spacing w:after="0"/>
              <w:rPr>
                <w:sz w:val="15"/>
                <w:szCs w:val="15"/>
                <w:color w:val="auto"/>
              </w:rPr>
            </w:pPr>
          </w:p>
        </w:tc>
        <w:tc>
          <w:tcPr>
            <w:tcW w:w="7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(2,429)</w:t>
            </w:r>
          </w:p>
        </w:tc>
        <w:tc>
          <w:tcPr>
            <w:tcW w:w="360" w:type="dxa"/>
            <w:vAlign w:val="bottom"/>
          </w:tcPr>
          <w:p>
            <w:pPr>
              <w:spacing w:after="0"/>
              <w:rPr>
                <w:sz w:val="15"/>
                <w:szCs w:val="15"/>
                <w:color w:val="auto"/>
              </w:rPr>
            </w:pPr>
          </w:p>
        </w:tc>
        <w:tc>
          <w:tcPr>
            <w:tcW w:w="130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2,436</w:t>
            </w:r>
          </w:p>
        </w:tc>
        <w:tc>
          <w:tcPr>
            <w:tcW w:w="3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82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(46,131</w:t>
            </w:r>
          </w:p>
        </w:tc>
        <w:tc>
          <w:tcPr>
            <w:tcW w:w="200" w:type="dxa"/>
            <w:vAlign w:val="bottom"/>
            <w:tcBorders>
              <w:top w:val="single" w:sz="8" w:color="CCEEFF"/>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(20,034</w:t>
            </w:r>
          </w:p>
        </w:tc>
        <w:tc>
          <w:tcPr>
            <w:tcW w:w="320" w:type="dxa"/>
            <w:vAlign w:val="bottom"/>
            <w:tcBorders>
              <w:top w:val="single" w:sz="8" w:color="CCEEFF"/>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(26,097</w:t>
            </w:r>
          </w:p>
        </w:tc>
        <w:tc>
          <w:tcPr>
            <w:tcW w:w="320" w:type="dxa"/>
            <w:vAlign w:val="bottom"/>
            <w:tcBorders>
              <w:top w:val="single" w:sz="8" w:color="CCEEFF"/>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33</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7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color w:val="auto"/>
        </w:rPr>
        <w:t>Net Revenue</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years ended September 30, 2025 and 2024). Sales and other taxes we collect, if any, are excluded from net revenue. We include shipping and handling fees we bill to customers as part of net revenue. We include shipping and handling costs associated with outbound freight in cost of product revenue.</w:t>
      </w:r>
    </w:p>
    <w:p>
      <w:pPr>
        <w:spacing w:after="0" w:line="142"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Our net revenue fluctuates based on a variety of factors, including the timing of the receipt of product orders or contracts from our customers, product mix, competition, global economic conditions, and other factors.</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Product revenue was $5,996 for the year ended September 30, 2025 compared to $5,890 for the year ended September 30, 2024, an increase of $106 or 2%. The increase principally reflects the inclusion of sales of our wireless systems solutions and our interconnect products in our net revenue for all of fiscal year 2025. We acquired our wireless systems solutions in our May 2024 acquisition of RaGE Systems and we acquired our interconnect products in our December 2023 acquisition of EMI Solutions. For the year ended September 30, 2024, these products are only included in our net revenues from the respective dates of the acquisition. The impact of these acquisitions was partly offset by lower sales of active optical cables.</w:t>
      </w:r>
    </w:p>
    <w:p>
      <w:pPr>
        <w:spacing w:after="0" w:line="142"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Services revenue was $3,916 for the year ended September 30, 2025 compared to $552 for the year ended September 30, 2024, an increase of $3,364 or 609%. The increase principally reflects the inclusion of services revenues for wireless systems solutions in our net revenue for all of fiscal year 2025. We acquired our wireless systems solutions in our May 2024 acquisition of RaGE Systems. For the year ended September 30, 2024, these products are only included in our net revenues from the date of the acquisition.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Cost of services revenue principally consists of employee compensation and benefits of employees engaged in the delivery of engineering services, along with any related materials, equipment, supplies or other costs to perform a contract.</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Cost of product revenue was $3,563 for the year ended September 30, 2025 compared to $3,752 for the year ended September 30, 2024, a decrease of $189 or 5%. The change principally reflects a shift in product mix toward our wireless systems solutions and lower sales of active optical cables.</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Cost of service revenue was $1,342 for the year ended September 30, 2025 compared to $138 for the year ended September 30, 2024, an increase of $1,204 or 872%. The change principally reflects the inclusion of service revenues for our wireless systems solutions in our net revenue for all of fiscal year 2025, as discussed above under “</w:t>
      </w:r>
      <w:r>
        <w:rPr>
          <w:rFonts w:ascii="Times New Roman" w:cs="Times New Roman" w:eastAsia="Times New Roman" w:hAnsi="Times New Roman"/>
          <w:sz w:val="14"/>
          <w:szCs w:val="14"/>
          <w:i w:val="1"/>
          <w:iCs w:val="1"/>
          <w:color w:val="auto"/>
        </w:rPr>
        <w:t>Net Revenue.</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spacing w:after="0" w:line="123"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Research and development expenses were $2,419 for the year ended September 30, 2025 compared to $5,779 for the year ended September 30, 2024, a decrease of $3,360 or 58%. The decrease principally reflects lower employee compensation and benefits, lower costs for outside services and lower stock-based compensation expense resulting from the headcount reductions and other cost reduction actions we completed during the first six months of our fiscal year ended September 30, 2024. The decrease also reflects lower write-offs of tooling for the year ended September 30, 2025 compared to the prior year. These decreases were slightly offset by increased research and development costs in EMI Solutions and RaGE Systems, which we acquired during the year ended September 30,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Selling, general and administrative expenses were $39,556 for the year ended September 30, 2025 compared to $41,835 for the year ended September 30, 2024, a decrease of $2,279 or 5%. The decrease principally reflects lower costs for outside services, lower costs for compensation and benefits and lower costs for estimated amounts payable under the RaGE Earnout in connection with our acquisition of RaGE Systems. These decreases were partially offset by higher stock-based compensation expense and the addition of selling, general and administrative expenses of the businesses we acquired during fiscal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Long-Lived Assets</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In March 2025, we vacated a leased 19,436 square foot office in Irvine, California and in April 2025 the lease was terminated. As a result, during the three months ended June 30, 2025, we recognized an impairment loss of $725 to reduce the carrying value of this asset group to its estimated fair value. See Note 11—</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of the notes to our consolidated financial statements included herein.</w:t>
      </w:r>
    </w:p>
    <w:p>
      <w:pPr>
        <w:spacing w:after="0" w:line="135"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4"/>
          <w:szCs w:val="14"/>
          <w:color w:val="auto"/>
        </w:rPr>
        <w:t>During the year ended September 30, 2024, as a result of declining sales of AOCs and strategic decisions on investment across our product groups, we tested the related long-lived assets for possible impairment. Based on our test, we concluded that the carrying value of the AOCs asset group exceeded its estimated fair value, and we recorded an impairment charge of $1,333 to write down the carrying value of the long-lived assets (consisting of developed technology and customer relationships). We estimated the fair value of the AOC asset group using a discounted cash flow model.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Interest expense consists of cash and non-cash interest on our related and unrelated party promissory notes and notes payable.</w:t>
      </w:r>
    </w:p>
    <w:p>
      <w:pPr>
        <w:spacing w:after="0" w:line="18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Interest expense was $2,325 for the year ended September 30, 2025 compared to $1,582 for the year ended September 30, 2024, an increase of $743 or 47%. The increase principally reflects higher outstanding borrowings and higher interest rates on borrowings outstanding during the year ended September 30,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Earnout Liability</w:t>
      </w:r>
    </w:p>
    <w:p>
      <w:pPr>
        <w:spacing w:after="0" w:line="18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In connection with the Merger, certain Legacy Mobix stockholders and certain holders of Legacy Mobix stock options will be entitled to receive an additional aggregate 350,000 shares of our Class A Common Stock based on the achievement of trading price targets following the Closing over a seven-year earnout period.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 Additional information relating to the earnout liability can be found in the notes to our consolidated financial statements included herein.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44" w:name="page45"/>
    <w:bookmarkEnd w:id="44"/>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We estimated the fair value of the earnout liability as of the Closing of the Merger at $33,559. As of September 30, 2025 and 2024, none of the conditions for the issuance of any Earnout Shares had been achieved and we adjusted the carrying amount of the earnout liability to its estimated fair value of $1,240 and $1,680, respectively. As a result of decreases in the fair value of the liability, which were primarily the result of decreases in the price of our Class A Common Stock subsequent to the Closing, we recognized non-cash gains of $440 and $31,879 for the years ended September 30, 2025 and 2024, respectively.</w:t>
      </w:r>
    </w:p>
    <w:p>
      <w:pPr>
        <w:spacing w:after="0" w:line="142"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fair value of the earnout liability is based on a number of factors, including changes in the market price of our Class A Common Stock. We have experienced significant fluctuations in the market price of our Class A Common Stock in the period subsequent to the Closing, and may experience significant fluctuations in the future. Such price fluctuations will increase or decrease the value of the earnout liability, and we may be required to recognize losses or gains in our statements of operations and comprehensive loss, the amounts of which may be material.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Warrants</w:t>
      </w:r>
    </w:p>
    <w:p>
      <w:pPr>
        <w:spacing w:after="0" w:line="18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We evaluated all common stock warrants at the time of issuance (or at the Closing, if later) and concluded that certain warrants do not meet the derivative scope exception. Specifically, these warrants contain provisions that affect their settlement amounts which are not inputs into the pricing of a fixed-for-fixed option on equity shares. Therefore, these warrants are not considered indexed to our common stock and must be classified as liabilities. At their respective dates of issuance (or, in the case of the Private Warrants, at the Closing), we recognized a liability for each of the warrants in the amount of its estimated fair value. We subsequently adjusted the carrying amount of the liability for each warrant to its estimated fair value as of September 30, 2025 and 2024 (or through the warrants’ respective dates of exercise, if earlier).</w:t>
      </w:r>
    </w:p>
    <w:p>
      <w:pPr>
        <w:spacing w:after="0" w:line="14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 xml:space="preserve">As a result of changes in the fair value of the warrants, for the years ended September 30, 2025 and 2024, we recognized net non-cash gains of $804 and $1,415, respectively, which are included in “Change in fair value of warrants” in the consolidated statements of operations and comprehensive loss. See Note 15, </w:t>
      </w: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 xml:space="preserve"> and Note 17,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of the notes to our consolidated financial statements included herein.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PIPE Make-Whole Liability</w:t>
      </w:r>
    </w:p>
    <w:p>
      <w:pPr>
        <w:spacing w:after="0" w:line="18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In connection with the Merger, we agreed to issue additional shares of our Class A Common Stock to the holders of 245,473 shares of our Class A Common Stock in the event that the volume-weighted average price per share of our Class A Common Stock during a specified period is less than $100.00 per share. In such a case, we would be obligated to issue up to 105,202 additional shares of our Class A Common Stock. We accounted for the make-whole shares as liability-classified instruments because the events that determined the number of make-whole shares we were ultimately obligated to issue were not solely indexed to our common stock and we remeasured the PIPE make-whole liability to its estimated fair value at the end of each reporting period. Additional information relating to the PIPE make-whole liability can be found in the notes to our consolidated financial statements included herein.</w:t>
      </w:r>
    </w:p>
    <w:p>
      <w:pPr>
        <w:spacing w:after="0" w:line="14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estimated the fair value of the PIPE make-whole liability as of the Closing of the Merger at $2,071. In August 2024, we settled the PIPE make-whole liability through the issuance of 105,202 shares of our Class A Common Stock having a fair value of $1,241 at the time of settlement. As a result of the change in the fair value of the PIPE make-whole liability subsequent to the Closing, we recognized a non-cash gain of $830 for the year ended September 30,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Costs Expensed</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For the year ended September 30, 2025, financing costs expensed of $7,266 principally consisted of costs associated with the September 2025 warrant exercise inducement, including the estimated the fair value of the Inducement Warrants as of the date of issuance, the increase in the estimated fair value of the remaining Series B Warrants resulting from their amendment and the fair value of the warrants issued and fees paid to the financial advisor. Financing costs expensed also includes costs associated with the April 2025 Offering.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45" w:name="page46"/>
    <w:bookmarkEnd w:id="45"/>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For the year ended September 30, 2024, financing costs expensed of $2,894 consisted of the excess of the fair value of warrants issued in the Private Placement over the gross proceeds received, the fair value of the Placement Agent Warrants issued and the cash fees paid to the placement agent.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Non-Operating Losses, Net</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For the year ended September 30, 2025, other non-operating losses, net of $84 principally consisted of net losses on the settlement of notes payable and other liabilities in shares of our Class A Common Stock.</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For the year ended September 30, 2024, other non-operating losses, net of $1,707 principally consisted of commitment and other fees of $1,577 incurred in connection with the committed equity facility.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Provision (Benefit) for Income Taxes</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spacing w:after="0" w:line="142"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For the year ended September 30, 2025, our income tax provision of $7 differs from an amount calculated based on statutory tax rates principally due to our recording a valuation allowance against the net operating losses we generated during the period. We did not recognize any tax benefit related to our pretax book loss of $46,124 because we did not expect that the deferred tax asset arising from our net operating losses would be realized in the future.</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For the year ended September 30, 2024, we recognized an income tax benefit of $2,429. In connection with our acquisitions of EMI Solutions and RaGE Systems, we recognized additional deferred tax liabilities of $2,666 associated with acquired intangible assets. Based on the availability of these tax attributes, we determined that we expect to realize a greater portion of our existing deferred tax assets and for the year ended September 30, 2024 we recognized income tax benefits of $2,432, principally resulting from reductions of the valuation allowance previously recorded against our deferred tax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primary use of cash is to fund operating expenses, working capital requirements, debt service obligations, capital expenditures and other investments.</w:t>
      </w:r>
    </w:p>
    <w:p>
      <w:pPr>
        <w:spacing w:after="0" w:line="18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have incurred operating losses and negative cash flows as a result of our ongoing investment in product development and other operating expenses we incur. We expect to continue to incur operating losses and negative cash flows from operations associated with research and development expenses, selling, general, and administrative expenses and capital expenditures necessary to expand our operations, product offerings, and customer base with the ultimate goals of growing our business and achieving profitability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unaudited condensed consolidated cash flows for the nine months ended June 30, 2026 and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0" w:type="dxa"/>
            <w:vAlign w:val="bottom"/>
            <w:gridSpan w:val="4"/>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gridSpan w:val="2"/>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4"/>
        </w:trPr>
        <w:tc>
          <w:tcPr>
            <w:tcW w:w="4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r>
      <w:tr>
        <w:trPr>
          <w:trHeight w:val="163"/>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26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(14,719)</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104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(9,119)</w:t>
            </w:r>
          </w:p>
        </w:tc>
        <w:tc>
          <w:tcPr>
            <w:tcW w:w="100" w:type="dxa"/>
            <w:vAlign w:val="bottom"/>
            <w:tcBorders>
              <w:top w:val="single" w:sz="8" w:color="CCEEFF"/>
            </w:tcBorders>
            <w:shd w:val="clear" w:color="auto" w:fill="CCEEFF"/>
          </w:tcPr>
          <w:p>
            <w:pPr>
              <w:spacing w:after="0"/>
              <w:rPr>
                <w:sz w:val="14"/>
                <w:szCs w:val="14"/>
                <w:color w:val="auto"/>
              </w:rPr>
            </w:pPr>
          </w:p>
        </w:tc>
      </w:tr>
      <w:tr>
        <w:trPr>
          <w:trHeight w:val="172"/>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11</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(20)</w:t>
            </w:r>
          </w:p>
        </w:tc>
      </w:tr>
      <w:tr>
        <w:trPr>
          <w:trHeight w:val="18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13,597</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5,563</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8,034</w:t>
            </w:r>
          </w:p>
        </w:tc>
      </w:tr>
      <w:tr>
        <w:trPr>
          <w:trHeight w:val="214"/>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increase (decrease) in cash</w:t>
            </w:r>
          </w:p>
        </w:tc>
        <w:tc>
          <w:tcPr>
            <w:tcW w:w="12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200" w:type="dxa"/>
            <w:vAlign w:val="bottom"/>
            <w:tcBorders>
              <w:bottom w:val="single" w:sz="8" w:color="CCEEFF"/>
            </w:tcBorders>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r>
      <w:tr>
        <w:trPr>
          <w:trHeight w:val="144"/>
        </w:trPr>
        <w:tc>
          <w:tcPr>
            <w:tcW w:w="41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Cash, beginning of period</w:t>
            </w:r>
          </w:p>
        </w:tc>
        <w:tc>
          <w:tcPr>
            <w:tcW w:w="126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3,273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266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4"/>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Cash, end of period</w:t>
            </w:r>
          </w:p>
        </w:tc>
        <w:tc>
          <w:tcPr>
            <w:tcW w:w="1260" w:type="dxa"/>
            <w:vAlign w:val="bottom"/>
          </w:tcPr>
          <w:p>
            <w:pPr>
              <w:spacing w:after="0"/>
              <w:rPr>
                <w:sz w:val="15"/>
                <w:szCs w:val="15"/>
                <w:color w:val="auto"/>
              </w:rPr>
            </w:pPr>
          </w:p>
        </w:tc>
        <w:tc>
          <w:tcPr>
            <w:tcW w:w="102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bottom w:val="single" w:sz="8" w:color="auto"/>
            </w:tcBorders>
          </w:tcPr>
          <w:p>
            <w:pPr>
              <w:jc w:val="right"/>
              <w:ind w:right="104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4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4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648"/>
              <w:spacing w:after="0"/>
              <w:rPr>
                <w:sz w:val="20"/>
                <w:szCs w:val="20"/>
                <w:color w:val="auto"/>
              </w:rPr>
            </w:pPr>
            <w:r>
              <w:rPr>
                <w:rFonts w:ascii="Times New Roman" w:cs="Times New Roman" w:eastAsia="Times New Roman" w:hAnsi="Times New Roman"/>
                <w:sz w:val="14"/>
                <w:szCs w:val="14"/>
                <w:color w:val="auto"/>
              </w:rPr>
              <w:t>37</w:t>
            </w: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77"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8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For the nine months ended June 30, 2026, net cash used in operating activities was $14,719, which included the impact of our net loss of $32,773 and a net decrease in working capital items of $2,347, offset by net non-cash charges of $20,401. The net non-cash charges principally consisted of stock-based compensation expense of $9,941 for restricted stock units and stock options, $1,324 of depreciation and amortization expense, charges of $4,027 for the issuance or change in fair value of warrants and the issuance of preferred stock, charges of $4,218 for the extinguishment of notes payable, and charges of $1,121 for the issuance of common stock in consideration for a modification, partially offset by a $960 non-cash gain from the decrease in the fair value of the earnout liability. The net working capital increase principally consisted of decreases in accounts payable and accrued expenses, partly offset by decreases in accounts receivable and inventory.</w:t>
      </w:r>
    </w:p>
    <w:p>
      <w:pPr>
        <w:spacing w:after="0" w:line="316"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For the nine months ended June 30, 2025, net cash used in operating activities was $5,600, which included the impact of our net loss of $30,402, offset by net non-cash charges of $21,817 and net decreases in working capital items of $2,985. The net non-cash charges principally consisted of stock-based compensation expense of $20,256 for stock options and restricted stock units and $1,591 of depreciation and amortization expense and a $725 loss on the impairment of long-lived assets. The net working capital decrease principally consisted of increases in accrued expenses and inventory together with decreases in accounts receivable and accounts payable.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Net cash used in investing activities for the nine months ended June 30, 2026 was $9.</w:t>
      </w:r>
    </w:p>
    <w:p>
      <w:pPr>
        <w:spacing w:after="0" w:line="18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Net cash provided by investing activities of $11 for the nine months ended June 30, 2025 consisted of proceeds from the sale of property and equipment, partially offset by payments for the acquisition of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Net cash provided by financing activities for the nine months ended June 30, 2026 of $13,597 principally consisted of $5,360 in proceeds from our public offering, $1,254 in proceeds from the sale of common stock, $1,975 in proceeds from the sale of preferred stock and warrants on preferred stock, $8,649 in borrowings under notes payable and agreements for the purchase and sale of future receipts and proceeds of $55 from the exercise of stock options. These amounts were partially offset by principal payments on notes payable of $3,696 (including payments of $854 on notes payable—related parties).</w:t>
      </w:r>
    </w:p>
    <w:p>
      <w:pPr>
        <w:spacing w:after="0" w:line="142"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Net cash provided by financing activities for the nine months ended June 30, 2025 of $5,563 consisted of $3,645 in proceeds from the sale of common stock and warrants in the April 2025 Offering, $600 from the issuance of common stock, $2,575 in proceeds under agreements for the purchase and sale of future receipts and the issuance of notes payable and proceeds of $17 from the exercise of warrants to purchase shares of the Company’s Class A Common Stock. These amounts were partially offset by principal payments on notes payable of $1,100 (including payments of $445 on notes payable—related parties) and the payment of deferred consideration of $174 for the acquisition of a business.</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consolidated cash flows for the years ended September 30, 2025 and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40" w:type="dxa"/>
            <w:vAlign w:val="bottom"/>
            <w:gridSpan w:val="4"/>
          </w:tcPr>
          <w:p>
            <w:pPr>
              <w:jc w:val="right"/>
              <w:ind w:right="90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40" w:type="dxa"/>
            <w:vAlign w:val="bottom"/>
            <w:gridSpan w:val="4"/>
          </w:tcPr>
          <w:p>
            <w:pPr>
              <w:jc w:val="right"/>
              <w:ind w:righ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4"/>
        </w:trPr>
        <w:tc>
          <w:tcPr>
            <w:tcW w:w="52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Borders>
              <w:top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r>
      <w:tr>
        <w:trPr>
          <w:trHeight w:val="163"/>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(10,113)</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ind w:right="100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(18,388)</w:t>
            </w:r>
          </w:p>
        </w:tc>
        <w:tc>
          <w:tcPr>
            <w:tcW w:w="32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8,275</w:t>
            </w:r>
          </w:p>
        </w:tc>
        <w:tc>
          <w:tcPr>
            <w:tcW w:w="100" w:type="dxa"/>
            <w:vAlign w:val="bottom"/>
            <w:tcBorders>
              <w:top w:val="single" w:sz="8" w:color="CCEEFF"/>
            </w:tcBorders>
            <w:shd w:val="clear" w:color="auto" w:fill="CCEEFF"/>
          </w:tcPr>
          <w:p>
            <w:pPr>
              <w:spacing w:after="0"/>
              <w:rPr>
                <w:sz w:val="14"/>
                <w:szCs w:val="14"/>
                <w:color w:val="auto"/>
              </w:rPr>
            </w:pPr>
          </w:p>
        </w:tc>
      </w:tr>
      <w:tr>
        <w:trPr>
          <w:trHeight w:val="17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(1,108)</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1,109</w:t>
            </w:r>
          </w:p>
        </w:tc>
      </w:tr>
      <w:tr>
        <w:trPr>
          <w:trHeight w:val="172"/>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13,119</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19,673</w:t>
            </w:r>
          </w:p>
        </w:tc>
        <w:tc>
          <w:tcPr>
            <w:tcW w:w="1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(6,554)</w:t>
            </w:r>
          </w:p>
        </w:tc>
      </w:tr>
      <w:tr>
        <w:trPr>
          <w:trHeight w:val="172"/>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in cash</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3,007</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177</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2,830</w:t>
            </w:r>
          </w:p>
        </w:tc>
      </w:tr>
      <w:tr>
        <w:trPr>
          <w:trHeight w:val="18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beginning of period</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266</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3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4"/>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Cash, end of period</w:t>
            </w: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ind w:right="100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320" w:type="dxa"/>
            <w:vAlign w:val="bottom"/>
          </w:tcPr>
          <w:p>
            <w:pPr>
              <w:spacing w:after="0"/>
              <w:rPr>
                <w:sz w:val="15"/>
                <w:szCs w:val="15"/>
                <w:color w:val="auto"/>
              </w:rPr>
            </w:pPr>
          </w:p>
        </w:tc>
        <w:tc>
          <w:tcPr>
            <w:tcW w:w="168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5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768"/>
              <w:spacing w:after="0"/>
              <w:rPr>
                <w:sz w:val="20"/>
                <w:szCs w:val="20"/>
                <w:color w:val="auto"/>
              </w:rPr>
            </w:pPr>
            <w:r>
              <w:rPr>
                <w:rFonts w:ascii="Times New Roman" w:cs="Times New Roman" w:eastAsia="Times New Roman" w:hAnsi="Times New Roman"/>
                <w:sz w:val="14"/>
                <w:szCs w:val="14"/>
                <w:color w:val="auto"/>
              </w:rPr>
              <w:t>38</w:t>
            </w: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7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For the year ended September 30, 2025, net cash used in operating activities was $10,113, which included the impact of our net loss of $46,131, offset by net non-cash charges of $34,648 and net decreases in working capital items of $1,370. The net non-cash charges principally consisted of stock-based compensation expense of $25,619, non-cash charges of $6,458 related to the warrant exercise inducement, $2,058 of depreciation and amortization expense and a $725 loss on the impairment of long-lived assets. The net working capital decrease principally consisted of decreases in accounts receivable and inventory.</w:t>
      </w:r>
    </w:p>
    <w:p>
      <w:pPr>
        <w:spacing w:after="0" w:line="142"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For the year ended September 30, 2024, net cash used in operating activities was $18,388, which included the impact of our net loss of $20,034 and net non-cash credits of $3,206, partly offset by net decreases in working capital items of $4,852. The net non-cash credits principally consisted of the $31,879 gain on the change in fair value of the earnout liability, a deferred income tax benefit of $2,432 and $1,415 of non-cash gains from the change in the fair value of liability-classified warrants. These non-cash credits were partially offset by stock-based compensation expense of $21,383, $4,009 of Merger related transaction costs, $2,894 of non-cash private placement costs, $2,015 of depreciation and amortization expense and impairment of long-lived assets of $1,333. The net working capital decrease principally consists of an increase in accounts payable, accrued expenses and other liabilities, partly offset by an increase in accounts receivable.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Net cash provided by investing activities of $1 for the year ended September 30, 2025 consisted of proceeds from the sale of property and equipment, almost entirely offset by payments for the acquisition of property and equipment.</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Net cash used in investing activities of $1,108 for the year ended September 30, 2024 consisted of payments for the acquisition EMI Solutions and RaGE, net of acquired cash, and payments of $44 for the acquisition of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Net cash provided by financing activities for the year ended September 30, 2025 of $13,119 consisted of $3,645 in proceeds from the sale of common stock and warrants in the April 2025 Offering, proceeds of $4,520 from the exercise of warrants to purchase shares of our Class A Common Stock (including $4,500 from the warrant exercise inducement), $1,600 from the issuance of common stock and $5,317 in proceeds under agreements for the purchase and sale of future receipts and the issuance of notes payable. These amounts were partially offset by principal payments on notes payable of $1,789 (including payments of $574 on notes payable—related parties) and the payment of deferred consideration of $174 for the acquisition of a business.</w:t>
      </w:r>
    </w:p>
    <w:p>
      <w:pPr>
        <w:spacing w:after="0" w:line="142"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color w:val="auto"/>
        </w:rPr>
        <w:t>Net cash provided by financing activities for the year ended September 30, 2024 of $19,673 consisted of the $21,014 proceeds from the Merger and PIPE, $3,529 in proceeds from the issuance of common stock, $3,585 proceeds from the sale of warrants in a private placement, $1,648 in proceeds from issuance of notes payable and convertible notes (including $450 from notes payable—related parties) and proceeds of $229 from the exercise of stock options and warrants. These amounts were partially offset by the payment of Merger-related transaction costs of $6,946, principal payments of $3,212 on notes payable (including payments of $1,463 on notes payable—related parties) and the payment of deferred consideration of $174 for the acquisition of a business.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187"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As of September 30, 2025, our cash balance was $3,273 compared to $266 at September 30, 2024. We had a working capital deficit of $21,071 as of September 30, 2025 compared to a working capital deficit of $20,836 at September 30, 2024.</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As of June 30, 2026, our cash balance was $2,142 compared to $3,273 at September 30, 2025. We had a working capital deficit of $16,117 as of June 30, 2026 compared to a working capital deficit of $21,071 at September 30, 2025.</w:t>
      </w:r>
    </w:p>
    <w:p>
      <w:pPr>
        <w:spacing w:after="0" w:line="123" w:lineRule="exact"/>
        <w:rPr>
          <w:sz w:val="20"/>
          <w:szCs w:val="20"/>
          <w:color w:val="auto"/>
        </w:rPr>
      </w:pPr>
    </w:p>
    <w:p>
      <w:pPr>
        <w:jc w:val="both"/>
        <w:ind w:firstLine="517"/>
        <w:spacing w:after="0" w:line="286" w:lineRule="auto"/>
        <w:rPr>
          <w:sz w:val="20"/>
          <w:szCs w:val="20"/>
          <w:color w:val="auto"/>
        </w:rPr>
      </w:pPr>
      <w:r>
        <w:rPr>
          <w:rFonts w:ascii="Times New Roman" w:cs="Times New Roman" w:eastAsia="Times New Roman" w:hAnsi="Times New Roman"/>
          <w:sz w:val="14"/>
          <w:szCs w:val="14"/>
          <w:color w:val="auto"/>
        </w:rPr>
        <w:t>As of June 30, 2026, our debt consists of notes payable with an aggregate amount of $4,355 and 7% promissory notes—related parties with an aggregate principal amount of $1,397. Of these amounts, one note having a principal amount of $125 has reached its maturity date and is currently due. The remainder require weekly or monthly payments in varying amounts through July 2027.</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48" w:name="page49"/>
    <w:bookmarkEnd w:id="48"/>
    <w:p>
      <w:pPr>
        <w:jc w:val="both"/>
        <w:ind w:firstLine="517"/>
        <w:spacing w:after="0" w:line="272" w:lineRule="auto"/>
        <w:rPr>
          <w:sz w:val="20"/>
          <w:szCs w:val="20"/>
          <w:color w:val="auto"/>
        </w:rPr>
      </w:pPr>
      <w:r>
        <w:rPr>
          <w:rFonts w:ascii="Times New Roman" w:cs="Times New Roman" w:eastAsia="Times New Roman" w:hAnsi="Times New Roman"/>
          <w:sz w:val="14"/>
          <w:szCs w:val="14"/>
          <w:color w:val="auto"/>
        </w:rPr>
        <w:t>Our total liabilities as of June 30, 2026 were $26,711 compared to $37,449 as of September 30, 2025. The decrease in our total liabilities is principally due to the amendment of certain liability-classified warrants and the resulting reclassification of $6,912 of liabilities to stockholders’ equity (deficit) on the condensed consolidated balance sheet during the nine months ended June 30, 2026, a decrease in accounts payable of $3,949, and a decrease in accrued expenses and other current liabilities of $2,008, partially offset by the issuance of $2,780 of liability-classified warrants.</w:t>
      </w:r>
    </w:p>
    <w:p>
      <w:pPr>
        <w:spacing w:after="0" w:line="31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Other commitments include (i) non-cancelable operating leases for equipment, office facilities and other property containing future minimum lease payments totaling $167 payable over the next 0.7 years, (ii) unpaid commitment and other fees of $1,478 payable in connection with the committed equity facility (terminated effective June 26, 2026), (iii) deferred purchase consideration of $2,093 related to acquisitions which is currently due, and (iv) $2,000 currently payable under an earnout arrangement related to the acquisition of a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Going Concern</w:t>
      </w:r>
    </w:p>
    <w:p>
      <w:pPr>
        <w:spacing w:after="0" w:line="187"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We incurred a loss from operations of $22,278 for the nine months ended June 30, 2026 and we incurred losses from operations of $37,693 and $46,395 for the years ended September 30, 2025 and 2024, respectively. Additionally, we had negative cash flows from operations of $14,719 for the nine months ended June 30, 2026 and negative cash flows from operations of $10,113 and $18,388 for the years ended September 30, 2025 and 2024, respectively. As of June 30, 2026, we had cash on hand of $2,142 and an accumulated deficit of $183,361. We have historically financed our operations through the issuance and sale of equity securities and the issuance of debt. We expect to continue to incur operating losses and negative cash flows from operations for the foreseeable future and we will need to raise additional debt or equity financing to fund our operations and satisfy our obligations. We believe that there is substantial doubt concerning our ability to continue as a going concern as we currently do not have adequate liquidity to meet our operating needs and satisfy our obligations for at least the next twelve months.</w:t>
      </w:r>
    </w:p>
    <w:p>
      <w:pPr>
        <w:spacing w:after="0" w:line="143"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While we will seek to raise additional capital, there can be no assurance the necessary financing will be available on terms acceptable to us, or at all. If we raise funds by issuing equity securities, dilution to existing stockholders may result. Any equity securities issued may also provide for rights, preferences or privileges senior to those of holders of common stock. If we raise funds by issuing debt securities, such debt securities would have rights, preferences and privileges senior to those of preferred and common stockholders. The terms of debt securities or borrowings may impose significant restrictions on our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spacing w:after="0" w:line="14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If we are unable to obtain additional financing, or if such transactions are successfully completed but do not provide adequate financing, we may be required to reduce our operating expenditures, which could adversely affect our business prospects, or we may be unable to continue operations. The condensed consolidated financial statements do not include any adjustments that might result from the outcome of these uncertainties. Accordingly, the condensed consolidated financial statements have been prepared on a basis that assumes we will continue as a going concern and which contemplates the realization of assets and the satisfaction of liabilities and commitments in the ordinary course of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preparation of our financial statements and related disclosures in accordance with U.S. GAAP requires that we make judgments, assumptions and estimates that affect the amounts reported in the consolidated financial statements.</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The methods, estimates and judgments we use in applying our accounting policies have a significant impact on the results that we report in our financial statements. Some of our accounting policies require that we make difficult and subjective judgments, often as a result of the need to make estimates regarding matters that are inherently uncertain. We base our estimates and judgments on historical experience, current economic and industry conditions and other factors that we believe to be reasonable under the circumstances. Actual results may differ from our estimates under different assumptions or conditions.</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Our most critical accounting estimates include the assumptions we use in the determination of the fair value of the earnout liability, the fair value of liability-classified warrants, stock-based compensation, the provision (benefit) for income taxes, the accounting for business combinations and the measurement of definite-lived intangible assets and goodwill.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color w:val="auto"/>
        </w:rPr>
        <w:t>Fair Value of Earnout Liability</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We account for the Earnout Shares as liability-classified instruments because the events that determine the number of shares to which the earnout recipients will be entitled include events that are not solely indexed to our common stock. We remeasure the earnout liability to its estimated fair value at the end of each reporting period.</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We estimate the fair value of the earnout liability using a Monte Carlo simulation model that utilizes significant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4200" w:type="dxa"/>
            <w:vAlign w:val="bottom"/>
            <w:gridSpan w:val="2"/>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8.06</w:t>
            </w:r>
          </w:p>
        </w:tc>
        <w:tc>
          <w:tcPr>
            <w:tcW w:w="5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80%</w:t>
            </w:r>
          </w:p>
        </w:tc>
        <w:tc>
          <w:tcPr>
            <w:tcW w:w="5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29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w:t>
            </w:r>
          </w:p>
        </w:tc>
        <w:tc>
          <w:tcPr>
            <w:tcW w:w="5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w:t>
            </w:r>
          </w:p>
        </w:tc>
        <w:tc>
          <w:tcPr>
            <w:tcW w:w="2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6.2 years</w:t>
            </w:r>
          </w:p>
        </w:tc>
        <w:tc>
          <w:tcPr>
            <w:tcW w:w="54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 years</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Our stock-based compensation awards principally consist of restricted stock units (RSUs) and restricted stock awards (RSAs). Prior to the Merger, our stock-based compensation awards principally consisted of stock options. In some cases, other equity transactions, such as the issuance of warrants to purchase our common stock are accounted for as equity-classified awards granted to employees. In each case, we must determine the fair value of the equity-based awards.</w:t>
      </w:r>
    </w:p>
    <w:p>
      <w:pPr>
        <w:spacing w:after="0" w:line="13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We estimate the fair value of stock options and warrants to purchase our common stock using the Black-Scholes-Merton (“Black-Scholes”) option-pricing model. The Black-Scholes option pricing model considers several variables and assumptions in estimating the fair value of stock-based awards. These variables include:</w:t>
      </w:r>
    </w:p>
    <w:p>
      <w:pPr>
        <w:spacing w:after="0" w:line="123" w:lineRule="exact"/>
        <w:rPr>
          <w:sz w:val="20"/>
          <w:szCs w:val="20"/>
          <w:color w:val="auto"/>
        </w:rPr>
      </w:pPr>
    </w:p>
    <w:p>
      <w:pPr>
        <w:ind w:left="520" w:hanging="256"/>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fair value of the underlying common stock;</w:t>
      </w:r>
    </w:p>
    <w:p>
      <w:pPr>
        <w:spacing w:after="0" w:line="2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term;</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stock price volatility over the expected term; and</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annual dividend yield.</w:t>
      </w:r>
    </w:p>
    <w:p>
      <w:pPr>
        <w:spacing w:after="0" w:line="169"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estimate the fair value of RSUs and RSAs based on the grant-date market price of our common stock.</w:t>
      </w:r>
    </w:p>
    <w:p>
      <w:pPr>
        <w:spacing w:after="0" w:line="18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recognize the fair value of each award as compensation expense on a straight-line basis over the requisite service period, which principally range from one to four years. We have elected to account for forfeitures as they occur and initially record stock-based compensation expense assuming all option holders will complete the requisite service period. If an employee forfeits an award because they fail to complete the requisite service period, we will reverse previously recognized stock-based compensation expense in the period the award is forfeited.</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Certain RSUs are subject to both service-based vesting conditions and performance conditions. For such awards, our accounting requires that we evaluate the probability of achievement of the performance conditions. When we conclude that the achievement of a performance condition is not probable, we do not recognize any compensation cost for that award. We continually reevaluate the probability of achievement of performance conditions. If we subsequently determine the achievement of a performance condition is probable, we will be required to record a “catch-up” of previously unrecognized stock-based compensation expense, subject to any applicable time-based vesting.</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50" w:name="page51"/>
    <w:bookmarkEnd w:id="50"/>
    <w:p>
      <w:pPr>
        <w:jc w:val="both"/>
        <w:ind w:firstLine="574"/>
        <w:spacing w:after="0" w:line="275" w:lineRule="auto"/>
        <w:rPr>
          <w:sz w:val="20"/>
          <w:szCs w:val="20"/>
          <w:color w:val="auto"/>
        </w:rPr>
      </w:pPr>
      <w:r>
        <w:rPr>
          <w:rFonts w:ascii="Times New Roman" w:cs="Times New Roman" w:eastAsia="Times New Roman" w:hAnsi="Times New Roman"/>
          <w:sz w:val="14"/>
          <w:szCs w:val="14"/>
          <w:color w:val="auto"/>
        </w:rPr>
        <w:t>We have also issued warrants to purchase common stock to employees and service providers in exchange for services to us and we determined that those warrants should be accounted for as equity-classified awards. We determine the fair value of these warrants at the date of issuance using the Black-Scholes option pricing model, based on the variables and assumptions discussed above, and recognize the fair value as stock-based compensation expense in our consolidated statements of operations and comprehensive loss.</w:t>
      </w:r>
    </w:p>
    <w:p>
      <w:pPr>
        <w:spacing w:after="0" w:line="13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classify stock-based compensation expense in our consolidated statements of operations and comprehensive loss in the same manner in which the award recipient’s salary and related costs are classified or in which the award recipient’s service payments are classified. In future periods, we expect stock-based compensation expense to increase, due in part to our existing unrecognized stock-based compensation expense and as we grant additional stock-based awards to continue to attract and retain employees.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Liability-Classified Warrants</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In connection with the Merger and subsequent financing transactions we have issued certain warrants that do not meet the derivative scope exception. Specifically, these warrants contain provisions that affect their settlement amounts which are not inputs into the pricing of a fixed-for-fixed option on equity shares. Therefore, these warrants are not considered indexed to our stock and must be classified as liabilities. At their respective dates of issuance, we recognized a liability for each of the warrants in the amount of their estimated fair value. We remeasure the warrant liabilities to their estimated fair value as of the end of each reporting period.</w:t>
      </w:r>
    </w:p>
    <w:p>
      <w:pPr>
        <w:spacing w:after="0" w:line="140"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4"/>
          <w:szCs w:val="14"/>
          <w:color w:val="auto"/>
        </w:rPr>
        <w:t xml:space="preserve">We estimate the fair value of liability-classified warrants, other than the Private Warrants, using the Black-Scholes option-pricing model (as described above under </w:t>
      </w:r>
      <w:r>
        <w:rPr>
          <w:rFonts w:ascii="Times New Roman" w:cs="Times New Roman" w:eastAsia="Times New Roman" w:hAnsi="Times New Roman"/>
          <w:sz w:val="14"/>
          <w:szCs w:val="14"/>
          <w:i w:val="1"/>
          <w:iCs w:val="1"/>
          <w:color w:val="auto"/>
        </w:rPr>
        <w:t>Stock-Based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Compensation</w:t>
      </w:r>
      <w:r>
        <w:rPr>
          <w:rFonts w:ascii="Times New Roman" w:cs="Times New Roman" w:eastAsia="Times New Roman" w:hAnsi="Times New Roman"/>
          <w:sz w:val="14"/>
          <w:szCs w:val="14"/>
          <w:color w:val="auto"/>
        </w:rPr>
        <w:t>). We recognize the change in the fair value of liability-classified warrants in “Change in fair value of warrants” in our consolidated statements of operations and comprehensive loss.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following table summarizes the assumptions we used in estimating the fair value of liability-classified warrants at the respective dates: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3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8.06</w:t>
            </w:r>
          </w:p>
        </w:tc>
        <w:tc>
          <w:tcPr>
            <w:tcW w:w="5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79.0%</w:t>
            </w:r>
          </w:p>
        </w:tc>
        <w:tc>
          <w:tcPr>
            <w:tcW w:w="5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2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w:t>
            </w:r>
          </w:p>
        </w:tc>
        <w:tc>
          <w:tcPr>
            <w:tcW w:w="5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 3.9%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w:t>
            </w:r>
          </w:p>
        </w:tc>
        <w:tc>
          <w:tcPr>
            <w:tcW w:w="2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4.3 – 4.9 years</w:t>
            </w:r>
          </w:p>
        </w:tc>
        <w:tc>
          <w:tcPr>
            <w:tcW w:w="54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 – 5.1 years</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We estimate the fair value of the Private Warrants based on quoted market prices for the Public Warrants, which have substantially the same economic characteristics as the Private Warrants.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Provision (Benefit) for Income Taxes</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We recognize the effect of a change in tax laws on deferred tax assets and liabilities in our results of operations in the period the new laws are enacted. We record a valuation allowance to reduce the carrying amounts of deferred tax assets unless it is more likely than not that such assets will be realized.</w:t>
      </w:r>
    </w:p>
    <w:p>
      <w:pPr>
        <w:spacing w:after="0" w:line="142"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We recognize liabilities for uncertain tax positions based on a two-step process regarding recognition and measurement. We recognize a tax benefit only if it is more likely than not the tax position will be sustained on examination by the local taxing authorities based on the technical merits of the position. We measure the amount of tax benefits recognized in the financial statements from such positions based on the largest benefit greater than 50% likely to be realized upon ultimate settlement with the related tax authority. Changes in recognition or measurement of an uncertain tax position are reflected in our statements of operations in the period in which the change in estimate occurs, based on new information not previously available.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color w:val="auto"/>
        </w:rPr>
        <w:t>Business Combinations</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We allocate the purchase price of an acquisition to the tangible and intangible assets acquired and the liabilities assumed based on their estimated fair values. The excess of the purchase price over the fair values of the net assets acquired is recorded as goodwill.</w:t>
      </w:r>
    </w:p>
    <w:p>
      <w:pPr>
        <w:spacing w:after="0" w:line="123"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Accounting for business combinations requires that we make significant estimates and assumptions to determine the fair value of assets acquired and liabilities assumed at the acquisition date. Although we believe the assumptions and estimates we use to be reasonable and appropriate, they are inherently uncertain. Critical estimates in valuing certain acquired assets may include, but are not limited to, expected future cash flows including revenue growth rate assumptions from product sales, customer contracts and acquired technologies, the expected costs to develop acquired technology into commercially viable products and the estimated cash flows from the projects when completed, including assumptions associated with the technology migration curve and expected selling, general and administrative costs. We derive the discount rates used to discount expected future cash flows to present value using a weighted-average cost of capital analysis adjusted to reflect inherent risks. Unanticipated events and circumstances may occur that could affect either the accuracy or validity of these assumptions, estimates or actual results.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Long-Lived Assets and Goodwill</w:t>
      </w:r>
    </w:p>
    <w:p>
      <w:pPr>
        <w:spacing w:after="0" w:line="18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We have long-lived assets, principally consisting of definite-lived intangible assets (including developed technology, customer relationships and tradenames). We record amortization expense associated with each definite-lived intangible asset based on its estimated useful life. We also review all long-lived assets—including intangible assets—for impairment whenever events or changes in circumstances indicate that the carrying amount of such assets may not be recoverable. This includes our regular review of our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long-lived assets.</w:t>
      </w:r>
    </w:p>
    <w:p>
      <w:pPr>
        <w:spacing w:after="0" w:line="14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perform impairment testing at the asset group level that represents the lowest level for which identifiable cash flows are largely independent of the cash flows of other assets and liabilities. Recoverability of an asset group is determined by comparing the forecasted undiscounted cash flows attributable to such asset group, including any cash flows upon its eventual disposition, to its carrying value. If the carrying value of the asset group exceeds the forecasted undiscounted cash flows, then the asset group is written down to its fair value.</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During the years ended September 30, 2025 and 2024 we recorded impairment charges of $725 and $1,333, respectively, to write down the value of long-lived assets to their estimated fair values. However, future cash flows may vary from what was expected, or assumptions and estimates we use in the fair value calculations may change. Any such changes in assumptions or estimates could change the estimates of future cash flows we use to estimate fair values and could result in a decline in the estimated fair value of related assets. Such a decline in our estimates of the fair values of assets may result in future impairment charges.</w:t>
      </w:r>
    </w:p>
    <w:p>
      <w:pPr>
        <w:spacing w:after="0" w:line="142"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also have goodwill totaling $16,066 as of September 30, 2025, which represents the excess of the fair value of purchase consideration of an acquired business over the fair value of the identifiable net assets acquired. Goodwill is not amortized, but we test goodwill for impairment at a reporting unit level on an annual basis on July 31, or more frequently if circumstances change or an event occurs that would more likely than not reduce the fair value of a reporting unit below its carrying amount.</w:t>
      </w:r>
    </w:p>
    <w:p>
      <w:pPr>
        <w:spacing w:after="0" w:line="13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We assess all relevant qualitative factors to determine whether it is more likely than not that the fair value of a reporting unit is less than its carrying amount. If the assessment indicates that it is more likely than not that the fair value of a reporting unit is greater than its carrying amount, a quantitative goodwill impairment test is not necessary. If the assessment of all relevant qualitative factors indicates that it is more likely than not that the fair value of a reporting unit is less than its carrying amount, we would perform a quantitative goodwill impairment test. The quantitative impairment test for goodwill consists of a comparison of the fair value of a reporting unit with its carrying value, including the goodwill allocated to that reporting unit. If the carrying value of a reporting unit exceeds its fair value, we will recognize an impairment loss equal to the amount of the excess, limited to the amount of goodwill allocated to that reporting unit.</w:t>
      </w:r>
    </w:p>
    <w:p>
      <w:pPr>
        <w:spacing w:after="0" w:line="144"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We performed our annual goodwill impairment test and determined it was not more likely than not that the fair value of any reporting unit was less than its carrying amount. We did not record any goodwill impairment losses for the years ended September 30, 2025 and 2024. Our annual goodwill impairment assessment is performed each year as of July 31, 2026. Based on the preliminary results of our annual test for fiscal 2026, there are indications that the fair value of one of our reporting units does not exceed the carrying value and we expect to record a non-cash impairment charge in the fourth quarter of fiscal 2026. The amount of the impairment is not yet finalized, but we anticipate to be within the range of $0 to $5,500.</w:t>
      </w:r>
    </w:p>
    <w:p>
      <w:pPr>
        <w:spacing w:after="0" w:line="142"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Our impairment tests require the use of judgment, including the identification of, and assignment of assets and liabilities to, asset groups and/or reporting units and the determination of fair values of asset groups or reporting units. We also must make significant assumptions and estimates, including the amount and timing of future cash flows, discount rates, asset fair values and the expected useful lives of the acquisition-related intangible assets. To make these judgments and estimates, we may use internal undiscounted cash flow estimates, quoted market prices (if available) or other available data.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Smaller Reporting Company</w:t>
      </w:r>
    </w:p>
    <w:p>
      <w:pPr>
        <w:spacing w:after="0" w:line="187"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last business day of our second fiscal quarter, or (ii) our annual revenue exceeded $100 million during such completed fiscal year and the market value of our common stock held by non-affiliates exceeds $700 million as of the last business day of our second fiscal quarter.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85"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Based in Irvine, California, Mobix Labs designs, develops and sells components and systems for advanced wireless and wired connectivity, radio frequency (“RF”), switching and electromagnetic interference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In July 2026, our Board of Directors approved the launch of our National Security Matters (“NSM”) Initiative, broadening our strategic focus to businesses that advance U.S. national security priorities, including critical resources; defense, aerospace and autonomous systems; energy, water and critical infrastructure; and digital infrastructure and strategic technologies. Consistent with this strategy, in July 2026 we announced our intention to change our corporate name to NSM Labs, Inc. In furtherance of the NSM Initiative, we have also entered into a definitive agreement to acquire Special Project Delivery, Inc., a company focused on U.S. supply chains for rare earth elements and critical minerals – an opportunity we have prioritized around assets that we believe advance U.S. national security, reduce single points of foreign dependency in critical supply chains, and are responsive to the priorities reflected in announced federal supply-chain, stockpile and defense initiatives, including the U.S. Strategic Critical Minerals Reserve (“Project Vault”), financed in part by the Export-Import Bank of the United States, the “Golden Dome” missile defense initiative, and the executive order on “Unleashing American Drone Dominance.” We believe these focus areas position us to help strengthen America’s defense industrial base and supply-chain resilience. We are not a party to, and have not been awarded any contract or funding under, any of these programs or initiatives, and there can be no assurance that we or any business we acquire will participate in or benefit from them.</w:t>
      </w:r>
    </w:p>
    <w:p>
      <w:pPr>
        <w:spacing w:after="0" w:line="14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Our wireless systems solutions include products for advanced RF and millimeter wave (“mmWave”) communications, mmWave imaging, software defined radio and custom RF integrated circuits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w:t>
      </w:r>
    </w:p>
    <w:p>
      <w:pPr>
        <w:spacing w:after="0" w:line="142"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On December 21, 2023, we consummated the merger pursuant to the business combination agreement, dated November 15, 2022 (as amended, supplemented or otherwise modified, the “Business Combination Agreement”), by and among Chavant Capital Acquisition Corp.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(the “Company”) and Legacy Mobix changed its name from “Mobix Labs, Inc.” to “Mobix Labs Operations, Inc.”</w:t>
      </w:r>
    </w:p>
    <w:p>
      <w:pPr>
        <w:spacing w:after="0" w:line="143"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We were founded with the goal of simplifying the development and maximizing the performance of mmWave wireless products by designing and developing high performance system-level solutions used for signal processing applications in wireless devices. Since our inception, our corporate strategy has evolved to encompass the pursuit of acquisitions serving diverse industry sectors, including aerospace, military, defense, medical and high reliability (“HiRel”) technology, as part of our commitment to enhancing communication services. We have developed and/or acquired an extensive intellectual property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spacing w:after="0" w:line="14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On December 18, 2023, we completed the acquisition of EMI Solutions when we acquired all of the issued and outstanding common shares of EMI Solutions. EMI Solutions is a manufacturer of interconnect products, including electromagnetic interference filtering products for aerospace, military, defense and medical applications. We believe the acquisition of EMI Solutions complements our existing product offerings, expanded our customer base and allows us to deliver solutions that address a wider variety of applications and markets. Consideration for the acquisition of EMI Solutions consisted of 96,491 shares of Legacy Mobix common stock and $2,200 in cash. We valued the common stock at $8,856, based on the fair value of the Legacy Mobix common stock at the time of the acquisition.</w:t>
      </w:r>
    </w:p>
    <w:p>
      <w:pPr>
        <w:spacing w:after="0" w:line="14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May 21, 2024, we completed the acquisition of RaGE Systems, Inc. (“RaGE Systems”). RaGE Systems designs, develops and manufactures wireless systems solutions, including products for 5G communications, mmWave imaging, and software defined radio targeting the commercial, industrial, and defense and aerospace sectors. We believe the acquisition of RaGE Systems expands our expertise in wireless communications and will allow us to deliver solutions that address a wider variety of applications and markets.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53" w:name="page54"/>
    <w:bookmarkEnd w:id="53"/>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Our leadership team is comprised of industry veterans with prior experience at premier semiconductor and connectivity companies, including Microsemi Corporation (which was acquired by Microchip Technology Inc.), Skyworks Solutions, Inc., MaxLinear, Inc. and Texas Instruments Incorporated. Our leadership team has significant experience and insight into growing advanced technology companies and executing strategic acquisitions to accelerate growth. Our engineering team is highly skilled in radio frequency, analog and mixed-signal technologies and has prior experience spearheading development of RF solutions that are widely used in existing wireless systems and devices.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Overview</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Wireless Systems Solutions </w:t>
      </w:r>
      <w:r>
        <w:rPr>
          <w:rFonts w:ascii="Times New Roman" w:cs="Times New Roman" w:eastAsia="Times New Roman" w:hAnsi="Times New Roman"/>
          <w:sz w:val="14"/>
          <w:szCs w:val="14"/>
          <w:color w:val="auto"/>
        </w:rPr>
        <w:t>— Our wireless systems solutions address several growth markets in the electronics industry—communications, sensing and detection and microelectronics.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these markets will continue to expand, driven by a number of factors.</w:t>
      </w:r>
    </w:p>
    <w:p>
      <w:pPr>
        <w:spacing w:after="0" w:line="168" w:lineRule="exact"/>
        <w:rPr>
          <w:sz w:val="20"/>
          <w:szCs w:val="20"/>
          <w:color w:val="auto"/>
        </w:rPr>
      </w:pPr>
    </w:p>
    <w:p>
      <w:pPr>
        <w:jc w:val="both"/>
        <w:ind w:left="1040" w:hanging="517"/>
        <w:spacing w:after="0" w:line="261" w:lineRule="auto"/>
        <w:tabs>
          <w:tab w:leader="none" w:pos="10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Communications </w:t>
      </w:r>
      <w:r>
        <w:rPr>
          <w:rFonts w:ascii="Times New Roman" w:cs="Times New Roman" w:eastAsia="Times New Roman" w:hAnsi="Times New Roman"/>
          <w:sz w:val="14"/>
          <w:szCs w:val="14"/>
          <w:color w:val="auto"/>
        </w:rPr>
        <w:t>— The demand for mobile and fixed data continues to grow at exponential rates. The evolution of wireless communications standards has enabled many data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intensive applications, such as video streaming, online conferencing and social media. Moreover, we believe ongoing deployment of applications for artificial intelligence (“AI”), augmented reality (“AR”), virtual reality (“VR”), autonomous vehicles, and industrial Internet of Things (“IoT”) sensors, will compound the strain on the current generation of wireless networks, necessitating higher bandwidth and more efficient communication networks. The next generation of wireless communications, including 5G and beyond, is expected to revolutionize the way data is transferred around the world. With data speeds up to 20 Gb/s coupled with ultra-low latency, or minimal delays in the transmission of data, the potential applications for 5G can be significantly more extensive than for earlier generations of wireless communications. There is also increasing interest in energy efficient, standards-based infrastructure. Wireless systems operators around the world have experienced increased operating costs due to the increasing cost of energy. We believe the need for highly power efficient solutions is particularly important for operators who provide coverage in rural, infrastructure constrained markets. We expect these demands create opportunities to develop new communication solutions for both domestic and international markets.</w:t>
      </w:r>
    </w:p>
    <w:p>
      <w:pPr>
        <w:spacing w:after="0" w:line="145" w:lineRule="exact"/>
        <w:rPr>
          <w:rFonts w:ascii="Times New Roman" w:cs="Times New Roman" w:eastAsia="Times New Roman" w:hAnsi="Times New Roman"/>
          <w:sz w:val="14"/>
          <w:szCs w:val="14"/>
          <w:color w:val="auto"/>
        </w:rPr>
      </w:pPr>
    </w:p>
    <w:p>
      <w:pPr>
        <w:jc w:val="both"/>
        <w:ind w:left="1040" w:hanging="517"/>
        <w:spacing w:after="0" w:line="266" w:lineRule="auto"/>
        <w:tabs>
          <w:tab w:leader="none" w:pos="10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Sensing and Detection </w:t>
      </w:r>
      <w:r>
        <w:rPr>
          <w:rFonts w:ascii="Times New Roman" w:cs="Times New Roman" w:eastAsia="Times New Roman" w:hAnsi="Times New Roman"/>
          <w:sz w:val="14"/>
          <w:szCs w:val="14"/>
          <w:color w:val="auto"/>
        </w:rPr>
        <w:t>— Demand for single and multiband sensing and detection solutions continues to grow across several market areas. In the security market, radio RF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mmWave imaging is used to sense and detect concealed objects in closed parcels or under clothes. The medical market uses a variety of non-visual spectrum to sense and detect a variety of conditions such as skin cancers or internal tumors and their compositions. Using RF, mmWave and infrared (“IR”) technologies, we can sense and detect flaws in building materials including concrete, wooden beams and other structural materials to determine the viability and safety of infrastructure. These applications use a combination of multi-spectral sensors, higher performance microelectronics, machine learning and AI and general computing for systems.</w:t>
      </w:r>
    </w:p>
    <w:p>
      <w:pPr>
        <w:spacing w:after="0" w:line="140" w:lineRule="exact"/>
        <w:rPr>
          <w:rFonts w:ascii="Times New Roman" w:cs="Times New Roman" w:eastAsia="Times New Roman" w:hAnsi="Times New Roman"/>
          <w:sz w:val="14"/>
          <w:szCs w:val="14"/>
          <w:color w:val="auto"/>
        </w:rPr>
      </w:pPr>
    </w:p>
    <w:p>
      <w:pPr>
        <w:jc w:val="both"/>
        <w:ind w:left="1040" w:hanging="517"/>
        <w:spacing w:after="0" w:line="266" w:lineRule="auto"/>
        <w:tabs>
          <w:tab w:leader="none" w:pos="10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Microelectronics </w:t>
      </w:r>
      <w:r>
        <w:rPr>
          <w:rFonts w:ascii="Times New Roman" w:cs="Times New Roman" w:eastAsia="Times New Roman" w:hAnsi="Times New Roman"/>
          <w:sz w:val="14"/>
          <w:szCs w:val="14"/>
          <w:color w:val="auto"/>
        </w:rPr>
        <w:t>— The specification, design and manufacture of very small electronic designs and components and circuits drives most electronics growth in the modern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electronics industry. Higher mobility, lower costs and greater energy efficiency drive innovations in communications, medical, sensing and other applications for the consumer commercial electronics, industrial electronics and aerospace and defense electronics markets. Microelectronics covers application specific integrated circuits (“ASIC”), RFIC and system on chip (“SoC”) IC designs. It also includes devices such as multi-chip modules (“MCMs”) and multi-chiplet modules (“McMs”). The trends now are to drive microelectronics to have global connectivity options and included capabilities for machine learning and AI.</w:t>
      </w:r>
    </w:p>
    <w:p>
      <w:pPr>
        <w:spacing w:after="0" w:line="141" w:lineRule="exact"/>
        <w:rPr>
          <w:sz w:val="20"/>
          <w:szCs w:val="20"/>
          <w:color w:val="auto"/>
        </w:rPr>
      </w:pPr>
    </w:p>
    <w:p>
      <w:pPr>
        <w:jc w:val="both"/>
        <w:ind w:firstLine="517"/>
        <w:spacing w:after="0" w:line="296" w:lineRule="auto"/>
        <w:rPr>
          <w:sz w:val="20"/>
          <w:szCs w:val="20"/>
          <w:color w:val="auto"/>
        </w:rPr>
      </w:pPr>
      <w:r>
        <w:rPr>
          <w:rFonts w:ascii="Times New Roman" w:cs="Times New Roman" w:eastAsia="Times New Roman" w:hAnsi="Times New Roman"/>
          <w:sz w:val="14"/>
          <w:szCs w:val="14"/>
          <w:i w:val="1"/>
          <w:iCs w:val="1"/>
          <w:color w:val="auto"/>
        </w:rPr>
        <w:t xml:space="preserve">Interconnect Products </w:t>
      </w:r>
      <w:r>
        <w:rPr>
          <w:rFonts w:ascii="Times New Roman" w:cs="Times New Roman" w:eastAsia="Times New Roman" w:hAnsi="Times New Roman"/>
          <w:sz w:val="14"/>
          <w:szCs w:val="14"/>
          <w:color w:val="auto"/>
        </w:rPr>
        <w:t>— Our interconnect products address the global EMI filter market which we believe is experiencing significant growth due to the increasing demand for noise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reduction in electronic devices. The growing complexity of electronic systems and the proliferation of communication technologies are driving the market growth.</w:t>
      </w:r>
    </w:p>
    <w:p>
      <w:pPr>
        <w:spacing w:after="0" w:line="121"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Our EMI filtering devices are designed to reduce electromagnetic interference and allow for effective functioning of electronic communication systems. We believe the increasing complexity of aerospace and defense systems will drive greater demand for electromagnetic interference filters in the military and aerospace sectors. The increasing use of unmanned aerial vehicles and other advanced technology solutions has also fueled market growth.</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54" w:name="page55"/>
    <w:bookmarkEnd w:id="54"/>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Our high-reliability EMI filters are designed to consistently meet or exceed performance requirements and are vitally important to any industry with a high cost of failure. For example, our military, aerospace, and healthcare customers utilize our products for the accurate transmission and reception of signals required to ensure soldier, aircraft and patient safety or achieve mission success. Currently, our EMI filtering products are widely used in various applications and industries, including aerospace, military, defense and healthcare.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As a global provider of a diverse portfolio of advanced capability products, we believe that we are well positioned to capitalize upon the strong growth trends within the defense, aerospace, commercial, industrial and other markets worldwide. We believe our technology, products, and acquisition strategy will serve as strong bases for growth in the markets we currently serve as well as enable us to penetrate new markets globally. We believe our ability to develop and produce market-leading products and services coupled with our deep knowledge of our customers and end markets will enable us to expand our domestic and international market share and continue to offer our customers high-value solutions.</w:t>
      </w:r>
    </w:p>
    <w:p>
      <w:pPr>
        <w:spacing w:after="0" w:line="140"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Aerospace and Defense </w:t>
      </w:r>
      <w:r>
        <w:rPr>
          <w:rFonts w:ascii="Times New Roman" w:cs="Times New Roman" w:eastAsia="Times New Roman" w:hAnsi="Times New Roman"/>
          <w:sz w:val="14"/>
          <w:szCs w:val="14"/>
          <w:color w:val="auto"/>
        </w:rPr>
        <w:t>— We offer a variety of products that support the needs of end-user customers in the aerospace and defense and HiRel markets, including our wireless systems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solutions and interconnect products. Key end customers, including the U.S. military, have expressed a need for high-speed, reliable and secure communications links for various applications, including the “Connected Soldier” and “Connected Battlefield” in the Internet of Military Things, which includes sensing and computing devices worn by soldiers, embedded in combat suits and helmets. High bandwidth connectivity utilized in a private network is increasingly expected to allow the military to track, monitor and manage assets in the field in real time, enhancing market demand for high-performance, reliable and cost-effective solutions, which our products are designed to be.</w:t>
      </w:r>
    </w:p>
    <w:p>
      <w:pPr>
        <w:spacing w:after="0" w:line="141"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Industrial </w:t>
      </w:r>
      <w:r>
        <w:rPr>
          <w:rFonts w:ascii="Times New Roman" w:cs="Times New Roman" w:eastAsia="Times New Roman" w:hAnsi="Times New Roman"/>
          <w:sz w:val="14"/>
          <w:szCs w:val="14"/>
          <w:color w:val="auto"/>
        </w:rPr>
        <w:t>— Securing sensitive areas such as airports, ports of entry, government offices and data centers as well as other public spaces is a major growth area due to the lack of system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level solutions and companies with the capabilities to service these markets. We believe this presents an opportunity for us and our capabilities in the design, testing and manufacturing of multi-band, multi-spectral systems integrated with data processing and AI with machine leaning. We believe our unique position supplying the largest systems integrator of these types of solutions domestically offers us an opportunity to develop new capabilities and enter new markets.</w:t>
      </w:r>
    </w:p>
    <w:p>
      <w:pPr>
        <w:spacing w:after="0" w:line="141"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color w:val="auto"/>
        </w:rPr>
        <w:t>We expect that carriers will need to deploy dense networks of mmWave 5G small cells and repeaters in dense urban applications in order to maintain coverage and quality of service. In rural applications, the emphasis is on coverage and efficiency of the infrastructure in energy constrained deployments. We believe these factors present significant opportunities for us. Each small cell and/or repeater will require multiple chips to meet the necessary output power and coverage requirements. Rural cells will require energy efficient designs which utilize AI to meet capacity and coverage while minimizing power consumption. We believe our design capabilities, IP, and products position us to be a strong supplier at both ends of the communications infrastructure market.</w:t>
      </w:r>
    </w:p>
    <w:p>
      <w:pPr>
        <w:spacing w:after="0" w:line="315"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Satellite Communications </w:t>
      </w:r>
      <w:r>
        <w:rPr>
          <w:rFonts w:ascii="Times New Roman" w:cs="Times New Roman" w:eastAsia="Times New Roman" w:hAnsi="Times New Roman"/>
          <w:sz w:val="14"/>
          <w:szCs w:val="14"/>
          <w:color w:val="auto"/>
        </w:rPr>
        <w:t>— With the proliferation of satellite enabled devices there is an industry push to converge broadband low earth orbit satellite communications (“LEO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SATCOM”) with terrestrial 5G and other technologies. LEO SATCOM applications can provide lower latency and greater global coverage compared to geosynchronous satellite applications. On the ground terminal side, having a broadband satellite connection as a backup will allow many devices from handsets and laptops to connected cars to have more stable connections. As the world becomes more and more connected, we will seek to provide wireless systems solutions and LEO SATCOM connectivity designed to offer an attractive solution for keeping consumers connected anywhere in the world.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Wireless Systems Solutions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wireless systems solutions products and services address three key markets—communications, sensing and detection, and microelectronics.</w:t>
      </w:r>
    </w:p>
    <w:p>
      <w:pPr>
        <w:spacing w:after="0" w:line="181"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Communications </w:t>
      </w:r>
      <w:r>
        <w:rPr>
          <w:rFonts w:ascii="Times New Roman" w:cs="Times New Roman" w:eastAsia="Times New Roman" w:hAnsi="Times New Roman"/>
          <w:sz w:val="14"/>
          <w:szCs w:val="14"/>
          <w:color w:val="auto"/>
        </w:rPr>
        <w:t>— We provide both products and services for communications applications. Typically, we contract with customers to specify, design, prototype and validate products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markets in which our customers have an established position. We offer a highly skilled, multi-functional, knowledgeable team and we have significant industry know-how that cuts across every system aspect. Once the prototypes or trial units have been fielded, we seek to enter into a supply contract to build, test, ship and maintain products for our customers. In 2024 we launched our SMART™ Edge device—a software-manageable autonomous radio transceiver and an innovative appliance optimized for deployment at the network edge. This device is software programmable for a variety of applications such as RF spectrum analysis, RF broadcast node, transition base station and other custom applications.</w:t>
      </w:r>
    </w:p>
    <w:p>
      <w:pPr>
        <w:spacing w:after="0" w:line="141"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Sensing and Detection </w:t>
      </w:r>
      <w:r>
        <w:rPr>
          <w:rFonts w:ascii="Times New Roman" w:cs="Times New Roman" w:eastAsia="Times New Roman" w:hAnsi="Times New Roman"/>
          <w:sz w:val="14"/>
          <w:szCs w:val="14"/>
          <w:color w:val="auto"/>
        </w:rPr>
        <w:t>— We provide a custom designed product and a variety of services for sensing and detection applications. In security technology systems for airports, ports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borders, we work with a market leader and provide a key mmWave sensing module used in latest generation systems. We also provide design services to help with system improvements, cost reduction, new features and system development. We seek to expand our customer and application space to include non-destructive sensing of critical infrastructure components like wooden timbers, concrete and other building materials.</w:t>
      </w:r>
    </w:p>
    <w:p>
      <w:pPr>
        <w:spacing w:after="0" w:line="139"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Microelectronics </w:t>
      </w:r>
      <w:r>
        <w:rPr>
          <w:rFonts w:ascii="Times New Roman" w:cs="Times New Roman" w:eastAsia="Times New Roman" w:hAnsi="Times New Roman"/>
          <w:sz w:val="14"/>
          <w:szCs w:val="14"/>
          <w:color w:val="auto"/>
        </w:rPr>
        <w:t>— Semiconductor components are the building blocks used in wireless systems and devices. These components are classified as either discrete devices or ICs (also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referred to as “chips” or a “chipset”), in which a number of transistors and other elements are combined to form a more complicated electronic circuit. We expect our chipset IP and technology will feature a design which minimizes the number of semiconductor chips needed to enable mmWave wireless devices, and therefore we expect that our products will reduce the cost of such devices. Although we have not yet sold any ICs, we believe our IP and developed technology positions us to complete development of our chipset as the market for mmWave ICs evolves.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Interconnect Products</w:t>
      </w:r>
    </w:p>
    <w:p>
      <w:pPr>
        <w:spacing w:after="0" w:line="18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Our interconnect products consist of EMI filter inserts and filtered and non-filtered connectors. EMI filters are crucial components utilized in various electronic systems to mitigate EMI and ensure the integrity and reliability of signal transmission. These filters are designed to selectively attenuate or block unwanted electromagnetic noise while allowing desired signals to pass through unaffected. Our interconnect products are deployed in aerospace, military, defense, medical and healthcare products, and play a pivotal role in maintaining signal clarity, reducing signal distortion, and safeguarding against potential disruptions caused by external electromagnetic sources. By incorporating our interconnect products into electronic circuitry, our customers enhance the performance, efficiency, and overall functionality of their products, thereby meeting stringent regulatory standards and ensuring optimal operational reliability in diverse applications.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183" w:lineRule="exact"/>
        <w:rPr>
          <w:sz w:val="20"/>
          <w:szCs w:val="20"/>
          <w:color w:val="auto"/>
        </w:rPr>
      </w:pPr>
    </w:p>
    <w:p>
      <w:pPr>
        <w:jc w:val="both"/>
        <w:ind w:left="1040" w:hanging="517"/>
        <w:spacing w:after="0" w:line="269" w:lineRule="auto"/>
        <w:tabs>
          <w:tab w:leader="none" w:pos="10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Experienced management team </w:t>
      </w:r>
      <w:r>
        <w:rPr>
          <w:rFonts w:ascii="Times New Roman" w:cs="Times New Roman" w:eastAsia="Times New Roman" w:hAnsi="Times New Roman"/>
          <w:sz w:val="14"/>
          <w:szCs w:val="14"/>
          <w:color w:val="auto"/>
        </w:rPr>
        <w:t>— Our board of directors and our executive management team possess comprehensive expertise in overseeing entities within the communications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sector, particularly in the semiconductor industry. Several members of our board of directors and our management team have played pivotal roles in the inception and ongoing leadership of the enterprises that today form the backbone of our organization. This depth of knowledge and leadership is anticipated to greatly enhance our ability to implement our strategic objectives efficiently and effectively.</w:t>
      </w:r>
    </w:p>
    <w:p>
      <w:pPr>
        <w:spacing w:after="0" w:line="139" w:lineRule="exact"/>
        <w:rPr>
          <w:rFonts w:ascii="Times New Roman" w:cs="Times New Roman" w:eastAsia="Times New Roman" w:hAnsi="Times New Roman"/>
          <w:sz w:val="14"/>
          <w:szCs w:val="14"/>
          <w:color w:val="auto"/>
        </w:rPr>
      </w:pPr>
    </w:p>
    <w:p>
      <w:pPr>
        <w:jc w:val="both"/>
        <w:ind w:left="1040" w:hanging="517"/>
        <w:spacing w:after="0" w:line="266" w:lineRule="auto"/>
        <w:tabs>
          <w:tab w:leader="none" w:pos="10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Diversified business model </w:t>
      </w:r>
      <w:r>
        <w:rPr>
          <w:rFonts w:ascii="Times New Roman" w:cs="Times New Roman" w:eastAsia="Times New Roman" w:hAnsi="Times New Roman"/>
          <w:sz w:val="14"/>
          <w:szCs w:val="14"/>
          <w:color w:val="auto"/>
        </w:rPr>
        <w:t>— Our broad portfolio of products serve the connectivity, aerospace, military, defense and healthcare markets, and address the needs of both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commercial and government customers operating in domestic and international markets. In addition to broadening our addressable market, our strategy of serving both the commercial and government markets makes us less dependent upon government funding and commercial business cycles than businesses focused solely on either market. Similarly, by selling our products and services in various industries, we are less susceptible to economic and political uncertainties at any given time. As a result of this diversity, we believe that our future success is not dependent upon a single technology, product, service, customer, government program or geographic market.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56" w:name="page57"/>
    <w:bookmarkEnd w:id="56"/>
    <w:p>
      <w:pPr>
        <w:jc w:val="both"/>
        <w:ind w:left="1040" w:hanging="517"/>
        <w:spacing w:after="0" w:line="269" w:lineRule="auto"/>
        <w:tabs>
          <w:tab w:leader="none" w:pos="10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Strong acquisition and integration track record </w:t>
      </w:r>
      <w:r>
        <w:rPr>
          <w:rFonts w:ascii="Times New Roman" w:cs="Times New Roman" w:eastAsia="Times New Roman" w:hAnsi="Times New Roman"/>
          <w:sz w:val="14"/>
          <w:szCs w:val="14"/>
          <w:color w:val="auto"/>
        </w:rPr>
        <w:t>— Since our founding in 2020, we have strategically expanded our portfolio through the acquisition and integration of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businesses, including RaGE Systems and EMI Solutions, each of which aimed at broadening our operational capabilities and enhancing our financial metrics. These strategic initiatives have been instrumental in optimizing operational efficiencies across each acquired entity, subsequently bolstering our financial performance. In particular, we believe our acquisitions of RaGE Systems and EMI Solutions have allowed us to access new markets within the defense, military, aerospace and healthcare sectors.</w:t>
      </w:r>
    </w:p>
    <w:p>
      <w:pPr>
        <w:spacing w:after="0" w:line="139" w:lineRule="exact"/>
        <w:rPr>
          <w:rFonts w:ascii="Times New Roman" w:cs="Times New Roman" w:eastAsia="Times New Roman" w:hAnsi="Times New Roman"/>
          <w:sz w:val="14"/>
          <w:szCs w:val="14"/>
          <w:color w:val="auto"/>
        </w:rPr>
      </w:pPr>
    </w:p>
    <w:p>
      <w:pPr>
        <w:jc w:val="both"/>
        <w:ind w:left="1040" w:hanging="517"/>
        <w:spacing w:after="0" w:line="269" w:lineRule="auto"/>
        <w:tabs>
          <w:tab w:leader="none" w:pos="10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Superior, scalable wireless technology </w:t>
      </w:r>
      <w:r>
        <w:rPr>
          <w:rFonts w:ascii="Times New Roman" w:cs="Times New Roman" w:eastAsia="Times New Roman" w:hAnsi="Times New Roman"/>
          <w:sz w:val="14"/>
          <w:szCs w:val="14"/>
          <w:color w:val="auto"/>
        </w:rPr>
        <w:t>— We expect to base our mmWave ICs on a complementary metal-oxide-semiconductor (“CMOS”) process. We believe designing high-performance RF and mixed-signal/analog ICs in CMOS allows for higher levels of integration, which can lead to more compact products in a cost-effective manufacturing process. Additionally, we will seek to offer our mmWave chipset as a single SKU, scalable chipset that we believe will simplify manufacturers’ designs and accelerate our customers’ time to market.</w:t>
      </w:r>
    </w:p>
    <w:p>
      <w:pPr>
        <w:spacing w:after="0" w:line="139" w:lineRule="exact"/>
        <w:rPr>
          <w:rFonts w:ascii="Times New Roman" w:cs="Times New Roman" w:eastAsia="Times New Roman" w:hAnsi="Times New Roman"/>
          <w:sz w:val="14"/>
          <w:szCs w:val="14"/>
          <w:color w:val="auto"/>
        </w:rPr>
      </w:pPr>
    </w:p>
    <w:p>
      <w:pPr>
        <w:jc w:val="both"/>
        <w:ind w:left="1040" w:hanging="517"/>
        <w:spacing w:after="0" w:line="273" w:lineRule="auto"/>
        <w:tabs>
          <w:tab w:leader="none" w:pos="10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U.S.-based supplier of interconnect products </w:t>
      </w:r>
      <w:r>
        <w:rPr>
          <w:rFonts w:ascii="Times New Roman" w:cs="Times New Roman" w:eastAsia="Times New Roman" w:hAnsi="Times New Roman"/>
          <w:sz w:val="14"/>
          <w:szCs w:val="14"/>
          <w:color w:val="auto"/>
        </w:rPr>
        <w:t>— We believe certain of our customers, particularly those serving the defense industry, prefer to source interconnect products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U.S.-based suppliers like us. We believe this is important to certain customers with respect to overall quality and pricing due to global economic tensions and tariffs. We believe that being able to provide a high-quality interconnect solutions enables us to serve the evolving needs of mission-critical applications in the aerospace, defense, medical and other markets.</w:t>
      </w:r>
    </w:p>
    <w:p>
      <w:pPr>
        <w:spacing w:after="0" w:line="311" w:lineRule="exact"/>
        <w:rPr>
          <w:rFonts w:ascii="Times New Roman" w:cs="Times New Roman" w:eastAsia="Times New Roman" w:hAnsi="Times New Roman"/>
          <w:sz w:val="14"/>
          <w:szCs w:val="14"/>
          <w:color w:val="auto"/>
        </w:rPr>
      </w:pPr>
    </w:p>
    <w:p>
      <w:pPr>
        <w:jc w:val="both"/>
        <w:ind w:left="1040" w:hanging="517"/>
        <w:spacing w:after="0" w:line="269" w:lineRule="auto"/>
        <w:tabs>
          <w:tab w:leader="none" w:pos="10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Extensive patent and trade secret portfolio </w:t>
      </w:r>
      <w:r>
        <w:rPr>
          <w:rFonts w:ascii="Times New Roman" w:cs="Times New Roman" w:eastAsia="Times New Roman" w:hAnsi="Times New Roman"/>
          <w:sz w:val="14"/>
          <w:szCs w:val="14"/>
          <w:color w:val="auto"/>
        </w:rPr>
        <w:t>— We believe our intellectual property portfolio, comprising a combination of existing and pending patents and trade secrets, provides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 with a significant competitive advantage in our wireless systems solutions and interconnect products. We expect the intellectual property and expertise we have developed will allow us to meet the difficult system specifications in standard, bulk CMOS processes. We believe that our intellectual property portfolio, as well as our research and development capabilities, enable us to design solutions for our customers’ complex engineering challenges and capitalize on secular growth trends.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Strategy</w:t>
      </w:r>
    </w:p>
    <w:p>
      <w:pPr>
        <w:spacing w:after="0" w:line="183" w:lineRule="exact"/>
        <w:rPr>
          <w:sz w:val="20"/>
          <w:szCs w:val="20"/>
          <w:color w:val="auto"/>
        </w:rPr>
      </w:pPr>
    </w:p>
    <w:p>
      <w:pPr>
        <w:jc w:val="both"/>
        <w:ind w:left="1040" w:hanging="517"/>
        <w:spacing w:after="0" w:line="269" w:lineRule="auto"/>
        <w:tabs>
          <w:tab w:leader="none" w:pos="10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Acquire and integrate complementary assets</w:t>
      </w:r>
      <w:r>
        <w:rPr>
          <w:rFonts w:ascii="Times New Roman" w:cs="Times New Roman" w:eastAsia="Times New Roman" w:hAnsi="Times New Roman"/>
          <w:sz w:val="14"/>
          <w:szCs w:val="14"/>
          <w:color w:val="auto"/>
        </w:rPr>
        <w:t>— A key component of our growth strategy is to continually explore acquisition opportunities that can be accretive in both the short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long term or fill a potential technology gap. A critical element of our ability to execute on our acquisition strategy is the timely and successful integration of companies that we acquire, with the goal of quickly achieving sustained operational and financial benefits. We begin this integration process during the negotiation and due diligence processes for each acquisition.</w:t>
      </w:r>
    </w:p>
    <w:p>
      <w:pPr>
        <w:spacing w:after="0" w:line="139" w:lineRule="exact"/>
        <w:rPr>
          <w:rFonts w:ascii="Times New Roman" w:cs="Times New Roman" w:eastAsia="Times New Roman" w:hAnsi="Times New Roman"/>
          <w:sz w:val="14"/>
          <w:szCs w:val="14"/>
          <w:color w:val="auto"/>
        </w:rPr>
      </w:pPr>
    </w:p>
    <w:p>
      <w:pPr>
        <w:jc w:val="both"/>
        <w:ind w:left="1040" w:hanging="517"/>
        <w:spacing w:after="0" w:line="273" w:lineRule="auto"/>
        <w:tabs>
          <w:tab w:leader="none" w:pos="10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Accelerate technology development and innovation </w:t>
      </w:r>
      <w:r>
        <w:rPr>
          <w:rFonts w:ascii="Times New Roman" w:cs="Times New Roman" w:eastAsia="Times New Roman" w:hAnsi="Times New Roman"/>
          <w:sz w:val="14"/>
          <w:szCs w:val="14"/>
          <w:color w:val="auto"/>
        </w:rPr>
        <w:t>— We are dedicated to developing innovative solutions for next generation consumer commercial, industrial, automotive,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medical and aerospace and defense products. In this effort, we have developed our proprietary technology, or may work with our customers’ IP, for mmWave, 2/3/4/5G communications and ICs for a variety of applications. We believe this approach will allow us to develop more efficient, cost-effective and compact products and solutions for our customers.</w:t>
      </w:r>
    </w:p>
    <w:p>
      <w:pPr>
        <w:spacing w:after="0" w:line="3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Expand into new end markets and geographies </w:t>
      </w:r>
      <w:r>
        <w:rPr>
          <w:rFonts w:ascii="Times New Roman" w:cs="Times New Roman" w:eastAsia="Times New Roman" w:hAnsi="Times New Roman"/>
          <w:sz w:val="14"/>
          <w:szCs w:val="14"/>
          <w:color w:val="auto"/>
        </w:rPr>
        <w:t>— Our products and solutions are designed to:</w:t>
      </w:r>
    </w:p>
    <w:p>
      <w:pPr>
        <w:spacing w:after="0" w:line="185" w:lineRule="exact"/>
        <w:rPr>
          <w:rFonts w:ascii="Times New Roman" w:cs="Times New Roman" w:eastAsia="Times New Roman" w:hAnsi="Times New Roman"/>
          <w:sz w:val="14"/>
          <w:szCs w:val="14"/>
          <w:color w:val="auto"/>
        </w:rPr>
      </w:pPr>
    </w:p>
    <w:p>
      <w:pPr>
        <w:ind w:left="1560" w:hanging="263"/>
        <w:spacing w:after="0" w:line="292" w:lineRule="auto"/>
        <w:tabs>
          <w:tab w:leader="none" w:pos="1560" w:val="left"/>
        </w:tabs>
        <w:numPr>
          <w:ilvl w:val="1"/>
          <w:numId w:val="25"/>
        </w:numPr>
        <w:rPr>
          <w:rFonts w:ascii="Arial" w:cs="Arial" w:eastAsia="Arial" w:hAnsi="Arial"/>
          <w:sz w:val="14"/>
          <w:szCs w:val="14"/>
          <w:color w:val="auto"/>
        </w:rPr>
      </w:pPr>
      <w:r>
        <w:rPr>
          <w:rFonts w:ascii="Times New Roman" w:cs="Times New Roman" w:eastAsia="Times New Roman" w:hAnsi="Times New Roman"/>
          <w:sz w:val="14"/>
          <w:szCs w:val="14"/>
          <w:color w:val="auto"/>
        </w:rPr>
        <w:t>enable mmWave wireless devices to transmit and receive data at extremely high data rates which we believe will surpass those currently available in the consumer market; and</w:t>
      </w:r>
    </w:p>
    <w:p>
      <w:pPr>
        <w:spacing w:after="0" w:line="123" w:lineRule="exact"/>
        <w:rPr>
          <w:rFonts w:ascii="Arial" w:cs="Arial" w:eastAsia="Arial" w:hAnsi="Arial"/>
          <w:sz w:val="14"/>
          <w:szCs w:val="14"/>
          <w:color w:val="auto"/>
        </w:rPr>
      </w:pPr>
    </w:p>
    <w:p>
      <w:pPr>
        <w:ind w:left="1560" w:hanging="263"/>
        <w:spacing w:after="0"/>
        <w:tabs>
          <w:tab w:leader="none" w:pos="1560" w:val="left"/>
        </w:tabs>
        <w:numPr>
          <w:ilvl w:val="1"/>
          <w:numId w:val="25"/>
        </w:numPr>
        <w:rPr>
          <w:rFonts w:ascii="Arial" w:cs="Arial" w:eastAsia="Arial" w:hAnsi="Arial"/>
          <w:sz w:val="14"/>
          <w:szCs w:val="14"/>
          <w:color w:val="auto"/>
        </w:rPr>
      </w:pPr>
      <w:r>
        <w:rPr>
          <w:rFonts w:ascii="Times New Roman" w:cs="Times New Roman" w:eastAsia="Times New Roman" w:hAnsi="Times New Roman"/>
          <w:sz w:val="14"/>
          <w:szCs w:val="14"/>
          <w:color w:val="auto"/>
        </w:rPr>
        <w:t>minimize EMI in mission critical applications, including aerospace, military, defense and healthcare.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57" w:name="page58"/>
    <w:bookmarkEnd w:id="57"/>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We believe our diverse product offerings, our intellectual property and the global distribution and sales channels we have established provide additional opportunities to address several new markets from data centers to emerging wireless applications worldwide.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 and Operations</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We currently manufacture a majority of our interconnect products and wireless systems solutions at our own facilities. We also rely on contract manufacturers for certain production processes. This strategy is intended to allow us to efficiently manage both our supply competitiveness and manufacturing utilization in order to minimize the risk associated with market fluctuations and maximize our cash flow. Due to the application of our interconnect products in national security and defense applications, our interconnect products must be manufactured in the United States, with limited exceptions.</w:t>
      </w:r>
    </w:p>
    <w:p>
      <w:pPr>
        <w:spacing w:after="0" w:line="142"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For mmWave wireless IC products, we expect to outsource wafer fabrication to third party wafer manufacturers, as is common in the semiconductor industry. We believe the manufacturing processes we will require are available from multiple wafer fabrication providers. We believe that the raw materials, parts and supplies used in wafer fabrication are generally available at present and will remain available in the foreseeable future. Semiconductor wafers are usually shipped to third-party contractors for device assembly and packaging, where the wafers are cut into individual die, packaged and tested before final shipment to customers. We will also rely on third parties for device assembly and packaging services.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We sell our products and services directly to original equipment manufacturers (“OEMs”) or original design manufacturers (“ODMs”) and contract manufacturers through our global network of representatives and distributors. Our go-to-market strategy provides comprehensive customer coverage. We seek to collaborate with customers through the technology selection and design processes to gain design wins. We are customer and standard agnostic, allowing our solutions to be used globally and across multiple platforms and customers. We target innovative product suppliers and focus on communications technology used in mission critical and HiRel applications.</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We often work with customers that have a leading market share in a given application or solution. Given military, aerospace and healthcare product lifecycles, our products may remain in production with a customer for more than seven years with a single design.</w:t>
      </w:r>
    </w:p>
    <w:p>
      <w:pPr>
        <w:spacing w:after="0" w:line="12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strive to implement our go-to-market strategy, which is intended to provide comprehensive customer coverage through electronic component distributors and independent sales representative organizations. We also maintain a network of distributors and independent sales representative organizations, primarily in Europe and the Asia-Pacific region. As is customary in the electronic components industry, our distributors and independent sales representative organizations may also market other products that compete with ours.</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The sales process of electronic components and solutions typically commences with identifying and qualifying prospective customers and programs. Component suppliers like Mobix Labs must collaborate with prospective customers to work through the design funnel until production of the customers’ products. During this process, component suppliers often provide technical support directly or through the independent sales representative organizations that are concurrently providing pre-sales, post-sales and account management services to bring the customers’ products to market in a timely manner.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Our primary customers are organizations that sell product solutions for aerospace, military, defense and healthcare applications. We have also engaged with several OEMs and ODMs in an effort to secure them as customers for our mmWave ICs when those products are available for sale. If they do purchase our mmWave ICs, we expect them to purchase these products on a purchase order basis when we complete development and commence sales, which is customary in the semiconductor industry.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58" w:name="page59"/>
    <w:bookmarkEnd w:id="58"/>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For the year ended September 30, 2025, sales to Leidos Holdings, Inc. accounted for approximately 50% of our net revenues. No other customer accounted for 10% or more of our net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83"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i w:val="1"/>
          <w:iCs w:val="1"/>
          <w:color w:val="auto"/>
        </w:rPr>
        <w:t xml:space="preserve">Wireless Systems Solutions — </w:t>
      </w:r>
      <w:r>
        <w:rPr>
          <w:rFonts w:ascii="Times New Roman" w:cs="Times New Roman" w:eastAsia="Times New Roman" w:hAnsi="Times New Roman"/>
          <w:sz w:val="14"/>
          <w:szCs w:val="14"/>
          <w:color w:val="auto"/>
        </w:rPr>
        <w:t>The mmWave wireless market presents a significant opportunity for many existing and emerging semiconductor companies. Large companies such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Qualcomm Incorporated, NXP Semiconductors, N.V., Qorvo, Inc., Skyworks Solutions, Inc., and Analog Devices Inc. have all offered products to address the RF and mixed-signal portion of 5G radios for connected devices. There are also a number of smaller companies looking to capitalize on the mmWave market as well. We typically design our sensing and detection solutions under contracts and we primarily compete with our customers’ internal resources for design activity and with external contract manufacturers for the manufacture of products or equipment.</w:t>
      </w:r>
    </w:p>
    <w:p>
      <w:pPr>
        <w:spacing w:after="0" w:line="139"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4"/>
          <w:szCs w:val="14"/>
          <w:i w:val="1"/>
          <w:iCs w:val="1"/>
          <w:color w:val="auto"/>
        </w:rPr>
        <w:t xml:space="preserve">Interconnect Products — </w:t>
      </w:r>
      <w:r>
        <w:rPr>
          <w:rFonts w:ascii="Times New Roman" w:cs="Times New Roman" w:eastAsia="Times New Roman" w:hAnsi="Times New Roman"/>
          <w:sz w:val="14"/>
          <w:szCs w:val="14"/>
          <w:color w:val="auto"/>
        </w:rPr>
        <w:t>Multiple companies vie to provide effective solutions for mitigating electromagnetic interference. Principal companies with whom we compete include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Amphenol Corporation, Glenair, Inc., ITT Inc., and TE Connectivity Corporation. However, we believe that only a limited number of companies, including us, are approved vendors for products incorporated into certain military, defense, aerospace, and healthcare solutions.</w:t>
      </w:r>
    </w:p>
    <w:p>
      <w:pPr>
        <w:spacing w:after="0" w:line="13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Many of our competitors have greater financial, manufacturing, technical, sales and marketing resources to develop and market products that compete with our products. Some of our competitors may also have more advantageous supply or development relationships with our current and potential customers or suppliers.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At our core, we are a technology innovation company. We have invested a significant amount of time and expense into the design and development of technology for our current and anticipated future products, including mmWave wireless technology. We view our intellectual property, whether internally developed or obtained by way of an acquisition of a business, as a competitive advantage. We expect to continue to devote substantial resources to the development and acquisition of technology to be incorporated within our products and to product innovation and development.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85"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4"/>
          <w:szCs w:val="14"/>
          <w:color w:val="auto"/>
        </w:rPr>
        <w:t>A key strength of business is our intellectual property portfolio and engineering experience, both of which guide product development activities and our approach to maintaining, protecting and enforcing our intellectual property. We rely on our proprietary technologies, trade secrets and know-how to give us a competitive advantage. We also have a number of intellectual property registrations (including issued patents and trademark registrations), but we do not rely on any particular patent or patents for our success and have instead relied on our know-how and trade secrets.</w:t>
      </w:r>
    </w:p>
    <w:p>
      <w:pPr>
        <w:spacing w:after="0" w:line="31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Our future success and competitive position depend in part upon our ability to obtain and maintain, protect and enforce our intellectual property and proprietary information. We rely primarily on patent, trademark, trade secret and similar laws, as well as nondisclosure and confidentiality, agreements, international treaties and other methods, to protect our intellectual property and proprietary information. In order to maintain, protect and enforce our intellectual property and proprietary information, we may be required to litigate or arbitrate to enforce our contract and intellectual property rights or to determine the validity and scope of proprietary rights of others.</w:t>
      </w:r>
    </w:p>
    <w:p>
      <w:pPr>
        <w:spacing w:after="0" w:line="142"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Due to the competition in the industry in which we operate, there is frequent litigation related to allegations of infringement, misappropriation or other violations of intellectual property rights. From time to time we may receive inquiries from third parties related to their intellectual property rights and may become subject to litigation matters or disputes related to claims that we have infringed, misappropriated or violated their intellectual property rights, particularly as we expand our presence in the market and face increasing competition.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color w:val="auto"/>
        </w:rPr>
        <w:t>Government Regulations</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are subject to import/export controls, tariffs and other trade-related regulations and restrictions in the countries in which we do business. These controls, tariffs, regulations and restrictions (including those related to, or affected by, United States-China relations, as discussed in “</w:t>
      </w:r>
      <w:r>
        <w:rPr>
          <w:rFonts w:ascii="Times New Roman" w:cs="Times New Roman" w:eastAsia="Times New Roman" w:hAnsi="Times New Roman"/>
          <w:sz w:val="14"/>
          <w:szCs w:val="14"/>
          <w:i w:val="1"/>
          <w:iCs w:val="1"/>
          <w:color w:val="auto"/>
        </w:rPr>
        <w:t>Risk Factors — Risks Related to Our Business and Industry</w:t>
      </w:r>
      <w:r>
        <w:rPr>
          <w:rFonts w:ascii="Times New Roman" w:cs="Times New Roman" w:eastAsia="Times New Roman" w:hAnsi="Times New Roman"/>
          <w:sz w:val="14"/>
          <w:szCs w:val="14"/>
          <w:color w:val="auto"/>
        </w:rPr>
        <w:t>”) have had, and we believe may continue to have, a material impact on our business, including our ability to manufacture or sell products or source components.</w:t>
      </w:r>
    </w:p>
    <w:p>
      <w:pPr>
        <w:spacing w:after="0" w:line="13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Government regulations are subject to change in the future, and accordingly we are unable to assess the possible effect of compliance with future requirements or whether our compliance with such regulations will materially impact our business, results of operations or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Our people are critical to success and the pursuit of our goals and growth strategy. We strive to attract and retain team members who are driven to innovate and who bring diverse perspectives and skills. As of September 30, 2026, we had a total of 40 employees in the United States, of whom ten were primarily engaged in research and development, two were primarily engaged in sales and marketing, fourteen were primarily engaged in manufacturing, and fourteen were primarily engaged in general and administrative functions. None of our employees are covered by a collective bargaining agreement or represented by a labor union. Additionally, from time to time we utilize third-party contractors to supplement our workforce.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Our headquarters, consisting of approximately 2,713 square feet of office space in Irvine, California, is leased through March 2027. We also lease a 6,149 square foot facility in Irvine, California which we use principally for the design and production of our electromagnetic interference filtering products. We believe that our current facilities are sufficient to support our operations and growth plans and that additional space, if needed, will be available on commercially reasonable terms.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18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On June 25, 2024, Creditors Adjustment Bureau, Inc. (“CAB”) filed a lawsuit against us in Orange County Superior Court to recover a purported debt of approximately $132,000, which CAB received per assignment from Electro Rent Corporation. On September 24, 2024, default was entered against us. On November 7, 2024, we filed a Motion to Set Aside Entry of Default, which is set for hearing on February 21, 2025. On November 15, 2024, the Court issued a minute order declining to sign CAB’s request for a default judgment. On October 23, 2025, the Parties agreed to settle the matter for $127,500. The Parties entered into a stipulation for entry of judgment and filed a conditional notice of settlement with the Court. Mobix made all payments according to the schedule, with the final payment made on March 30, 2026. On April 22, 2026, CAB filed a Request for Dismissal with prejudice. No Further litigation is expected in this matter.</w:t>
      </w:r>
    </w:p>
    <w:p>
      <w:pPr>
        <w:spacing w:after="0" w:line="144"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On March 13, 2026, Ydens Holdings, LLC and related individual plaintiffs filed a lawsuit in Orange County Superior Court against the Company and its subsidiary EMI Solutions, asserting breach of contract and related claims arising from the September 2022 Agreement and Plan of Merger under which the Company acquired EMI Solutions. The plaintiffs seek damages. The Merger Agreement contains a mandatory arbitration provision, and the Company moved to compel arbitration. The parties thereafter stipulated to arbitrate the claims and the claims will now proceed in arbitration. The Company is unable to predict the final outcome of this matter, but it does not currently believe that it will have a material adverse effect on its results of operations or financial position. Additionally, on March 10, 2026, Robert Ydens (“Ydens”) filed a lawsuit against EMI Solutions, LLC, the Company, Phil Sansone, and Keyvan Samini in Orange County Superior Court, asserting claims for violation of the California Labor Code for failure to pay an alleged retention bonus, failure to pay alleged accrued vacation, breach of his at-will employment agreement, failure to pay final wages, and waiting time penalties. Defendants have filed a Petition to Compel Arbitration, seeking to enforce the mandatory arbitration provision contained in Ydens’ employment agreement, which requires all disputes arising out of or relating to his employment to be resolved through final and binding arbitration before JAMS. The Company is unable to predict the final outcome of this matter, but it does not currently believe that it will have a material adverse effect on its results of operations or financial position.</w:t>
      </w:r>
    </w:p>
    <w:p>
      <w:pPr>
        <w:spacing w:after="0" w:line="146"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From time to time, we have been, and may continue to be, subject to various claims, lawsuits and other legal and administrative proceedings that arise in the ordinary course of business. Some of these claims, lawsuits and other proceedings may range in complexity and result in substantial uncertainty, damages, fines, penalties, non-monetary sanctions or other relief. However, we do not believe any such claims, lawsuits, or proceedings currently pending, individually or in the aggregate, would be material to our business or likely to result in a material adverse effect on our future operating results, financial condition or cash flows.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 and Directors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sets forth certain information, as of the date of this prospectus, concerning each of our executive officers and directors.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60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6520" w:type="dxa"/>
            <w:vAlign w:val="bottom"/>
            <w:tcBorders>
              <w:bottom w:val="single" w:sz="8" w:color="auto"/>
            </w:tcBorders>
          </w:tcPr>
          <w:p>
            <w:pPr>
              <w:ind w:left="30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Philip Sansone</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67</w:t>
            </w:r>
          </w:p>
        </w:tc>
        <w:tc>
          <w:tcPr>
            <w:tcW w:w="1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Keyvan Samini</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9"/>
              </w:rPr>
              <w:t>60</w:t>
            </w:r>
          </w:p>
        </w:tc>
        <w:tc>
          <w:tcPr>
            <w:tcW w:w="120" w:type="dxa"/>
            <w:vAlign w:val="bottom"/>
            <w:shd w:val="clear" w:color="auto" w:fill="CCEEFF"/>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Co-founder, President, Chief Financial Officer and Director</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Directors</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James Peterson</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71</w:t>
            </w:r>
          </w:p>
        </w:tc>
        <w:tc>
          <w:tcPr>
            <w:tcW w:w="1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Co-founder, Director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Aldrich</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9"/>
              </w:rPr>
              <w:t>69</w:t>
            </w:r>
          </w:p>
        </w:tc>
        <w:tc>
          <w:tcPr>
            <w:tcW w:w="120" w:type="dxa"/>
            <w:vAlign w:val="bottom"/>
            <w:shd w:val="clear" w:color="auto" w:fill="CCEEFF"/>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Kurt Busch</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56</w:t>
            </w:r>
          </w:p>
        </w:tc>
        <w:tc>
          <w:tcPr>
            <w:tcW w:w="1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Carpou</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9"/>
              </w:rPr>
              <w:t>72</w:t>
            </w:r>
          </w:p>
        </w:tc>
        <w:tc>
          <w:tcPr>
            <w:tcW w:w="120" w:type="dxa"/>
            <w:vAlign w:val="bottom"/>
            <w:shd w:val="clear" w:color="auto" w:fill="CCEEFF"/>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Frederick Goerner</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78</w:t>
            </w:r>
          </w:p>
        </w:tc>
        <w:tc>
          <w:tcPr>
            <w:tcW w:w="120" w:type="dxa"/>
            <w:vAlign w:val="bottom"/>
          </w:tcPr>
          <w:p>
            <w:pPr>
              <w:spacing w:after="0"/>
              <w:rPr>
                <w:sz w:val="14"/>
                <w:szCs w:val="14"/>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4"/>
                <w:szCs w:val="14"/>
                <w:color w:val="auto"/>
              </w:rPr>
              <w:t>Co-founder, Director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Long</w:t>
            </w:r>
          </w:p>
        </w:tc>
        <w:tc>
          <w:tcPr>
            <w:tcW w:w="102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9"/>
              </w:rPr>
              <w:t>68</w:t>
            </w:r>
          </w:p>
        </w:tc>
        <w:tc>
          <w:tcPr>
            <w:tcW w:w="120" w:type="dxa"/>
            <w:vAlign w:val="bottom"/>
            <w:shd w:val="clear" w:color="auto" w:fill="CCEEFF"/>
          </w:tcPr>
          <w:p>
            <w:pPr>
              <w:spacing w:after="0"/>
              <w:rPr>
                <w:sz w:val="14"/>
                <w:szCs w:val="14"/>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Director</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Philip Sansone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Philip Sansone was appointed as Chief Executive Officer and as a director in July 2025. Mr. Sansone, served as Interim Chief Executive Officer from April 2025 to July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2025 and as Vice President of Worldwide Sales at the Company from September 2021 to April 2025. Prior to his service at the Company, Mr. Sansone served as Vice President of Global Distribution at MaxLinear, a provider of radio frequency, analog, digital and mixed-signal integrated circuits, from April 2019 to September 2021. Mr. Sansone received his bachelor’s degree in business administration from the New York Institute of Technology and brings decades of worldwide sales and distribution experience to the Company. We believe that Mr. Sansone is qualified to serve as a member of the Board because of his experience and familiarity with the industry.</w:t>
      </w:r>
    </w:p>
    <w:p>
      <w:pPr>
        <w:spacing w:after="0" w:line="137"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Keyvan Samini</w:t>
      </w:r>
      <w:r>
        <w:rPr>
          <w:rFonts w:ascii="Times New Roman" w:cs="Times New Roman" w:eastAsia="Times New Roman" w:hAnsi="Times New Roman"/>
          <w:sz w:val="14"/>
          <w:szCs w:val="14"/>
          <w:color w:val="auto"/>
        </w:rPr>
        <w:t>. Keyvan Samini is a co-founder of the Company and has served as our President since August 2022 and as a director since December 2023. He has also served as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Chief Financial Officer since September 2020 and as our General Counsel since August 2022. From June 2014 to March 2022, Mr. Samini served as Director of Pitchtime, Inc., a software development company dedicated to developing wireless communications technology to help businesses better communicate with customers from a single platform. He also served as Chief Executive Officer of Pitchtime, Inc. from 2016 to July 2020. Mr. Samini has also served in leadership positions at RFaxis, Inc., a company that developed disruptive semiconductor technology, from 2008 to 2016. Mr. Samini studied at the University of Wisconsin — Madison, graduating with a Bachelor of Science degree in economics and mathematics. He later earned his Master of Liberal Arts, Finance at Harvard University, Masters of Business Administration from University of Southern California Marshall School of Business and Juris Doctor from Ohio State University Moritz College of Law. We believe that Mr. Samini is qualified to serve as a member of the Board because of his extensive experience in the semiconductor and software industries, as well as his experience scaling growth in technology organizations and working with institutional investors in portfolio companies.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Directors</w:t>
      </w:r>
    </w:p>
    <w:p>
      <w:pPr>
        <w:spacing w:after="0" w:line="183" w:lineRule="exact"/>
        <w:rPr>
          <w:sz w:val="20"/>
          <w:szCs w:val="20"/>
          <w:color w:val="auto"/>
        </w:rPr>
      </w:pPr>
    </w:p>
    <w:p>
      <w:pPr>
        <w:jc w:val="both"/>
        <w:ind w:firstLine="517"/>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James Peterson</w:t>
      </w:r>
      <w:r>
        <w:rPr>
          <w:rFonts w:ascii="Times New Roman" w:cs="Times New Roman" w:eastAsia="Times New Roman" w:hAnsi="Times New Roman"/>
          <w:sz w:val="14"/>
          <w:szCs w:val="14"/>
          <w:color w:val="auto"/>
        </w:rPr>
        <w:t>. James Peterson is a co-founder of the Company and has served as a member of our Board since February 2021 and as the Executive Chairman of the Board since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November 2021. From 2000 to 2018, Mr. Peterson served as Chief Executive Officer and Chairman of Microsemi Corporation, now Microchip Technology Inc., a technology company specializing in semiconductor and systems solutions for communications, defense and security, aerospace and industrial markets. We believe that Mr. Peterson is qualified to serve as a member of the Board because of his experience as a former president and chief executive officer of a previously publicly-traded company prominent in the semiconductor industry.</w:t>
      </w:r>
    </w:p>
    <w:p>
      <w:pPr>
        <w:spacing w:after="0" w:line="136"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David Aldrich</w:t>
      </w:r>
      <w:r>
        <w:rPr>
          <w:rFonts w:ascii="Times New Roman" w:cs="Times New Roman" w:eastAsia="Times New Roman" w:hAnsi="Times New Roman"/>
          <w:sz w:val="14"/>
          <w:szCs w:val="14"/>
          <w:color w:val="auto"/>
        </w:rPr>
        <w:t>. David Aldrich has served as a member of our Board since February 2021. Mr. Aldrich also currently serves on the Boards of Allegro MicroSystems Inc., indie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Semiconductor and Belden. From 2002 to 2016, Mr. Aldrich was the Chief Executive Officer of Skyworks, a developer of high-performance mobile communications solutions. He later served as Chairman of Skyworks from 2018 to 2021. Mr. Aldrich studied at Providence College, graduating with a Bachelor of Arts degree in political science. He later earned his Masters of Business Administration from the University of Rhode Island. He is a past recipient of the Ernst &amp; Young New England Entrepreneur of the Year Award in the semiconductor category and was named CEO of the Year by the Massachusetts Technology Leadership Council. We believe that Mr. Aldrich is qualified to serve as a member of the Board because of his various high-level positions at companies within the semiconductor and communications industry.</w:t>
      </w:r>
    </w:p>
    <w:p>
      <w:pPr>
        <w:spacing w:after="0" w:line="139"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Kurt Busch</w:t>
      </w:r>
      <w:r>
        <w:rPr>
          <w:rFonts w:ascii="Times New Roman" w:cs="Times New Roman" w:eastAsia="Times New Roman" w:hAnsi="Times New Roman"/>
          <w:sz w:val="14"/>
          <w:szCs w:val="14"/>
          <w:color w:val="auto"/>
        </w:rPr>
        <w:t>. Kurt Busch has served as a member of our Board since February 2021. Mr. Busch is also the co-Founder and Chief Executive Officer of Syntiant Corp., an AI company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specializing in delivering end-to-end deep learning solutions for always-on applications. From November 2015 until April 2017, Mr. Busch served as the Chief Executive Officer at Busch Toschi, LLC, advising technology companies regarding sales, marketing, business development and strategic options. From August 2011 to 2015, Mr. Busch served as President, Chief Executive Officer and member of the Board at Lantronix, a global provider of secure data access and management solutions for Internet of Things and information technology. Mr. Busch has also served in leadership positions at Mindspeed Technologies, Inc. from October 2006 to August 2011. Mr. Busch studied at the University of California at Irvine, graduating with a Bachelor of Science degree in electrical and computer engineering and a Bachelor of Science degree in biological science. He later earned his Masters of Business Administration from Santa Clara University in 1998. In 2021, Mr. Busch was named Ernst &amp; Young’s Entrepreneur of the Year 2021 Pacific Southwest — Orange County. We believe that Mr. Busch is qualified to serve as a member of the Board because of his extensive industry experience, coupled with his previous high-level positions in the industry.</w:t>
      </w:r>
    </w:p>
    <w:p>
      <w:pPr>
        <w:spacing w:after="0" w:line="143"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William Carpou</w:t>
      </w:r>
      <w:r>
        <w:rPr>
          <w:rFonts w:ascii="Times New Roman" w:cs="Times New Roman" w:eastAsia="Times New Roman" w:hAnsi="Times New Roman"/>
          <w:sz w:val="14"/>
          <w:szCs w:val="14"/>
          <w:color w:val="auto"/>
        </w:rPr>
        <w:t>. William Carpou has been a Board member since June 2021. He has served as the CEO of Octane, a technology accelerator in California focused on fostering technology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industry growth and creating new companies and jobs in Orange County, since May 2015. Prior to Octane, Mr. Carpou was the managing partner of TheGreyGroup where Kaplan Performance Solutions was their top client, RGIS (a Blackstone portfolio company), and Profit Recovery Partners. He also serves on the Board of Directors of Priveterra Acquisition Corp II, is Chairman of Octane Enterprise Solutions, the President’s Advisory Council of Villanova University, and a member of the Chief Executive Roundtable at the University of California, Irvine. Additionally, he is the founding general partner of Visionary Ventures and Elevation Ventures. Mr. Carpou holds a Bachelor of Science degree in marketing from Villanova University. His extensive experience in sales, private equity, and various senior executive positions, along with his philanthropic efforts, make him a valuable member of the Board.</w:t>
      </w:r>
    </w:p>
    <w:p>
      <w:pPr>
        <w:spacing w:after="0" w:line="139"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Frederick Goerner</w:t>
      </w:r>
      <w:r>
        <w:rPr>
          <w:rFonts w:ascii="Times New Roman" w:cs="Times New Roman" w:eastAsia="Times New Roman" w:hAnsi="Times New Roman"/>
          <w:sz w:val="14"/>
          <w:szCs w:val="14"/>
          <w:color w:val="auto"/>
        </w:rPr>
        <w:t>. Frederick Goerner is a co-founder of the Company and has served as a member of our Board since February 2021. From April 2011 to March 2018, Mr. Goerner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served as Senior Vice President of Worldwide Sales of Microsemi Corporation, now Microchip Technology Inc., a technology company specializing in semiconductor and systems solutions for communications, defense and security, aerospace and industrial markets. Mr. Goerner also had leadership roles at Texas Instruments, Transdimension Inc. and Oxford Semiconductor Inc. Mr. Goerner studied at the University of Buffalo, graduating with a Bachelor of Science degree in electrical engineering. We believe that Mr. Goerner is qualified to serve as a member of the Board because of his experience in the industry, as well as his various leadership roles at different companies.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62" w:name="page63"/>
    <w:bookmarkEnd w:id="62"/>
    <w:p>
      <w:pPr>
        <w:jc w:val="both"/>
        <w:ind w:firstLine="517"/>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Michael Long</w:t>
      </w:r>
      <w:r>
        <w:rPr>
          <w:rFonts w:ascii="Times New Roman" w:cs="Times New Roman" w:eastAsia="Times New Roman" w:hAnsi="Times New Roman"/>
          <w:sz w:val="14"/>
          <w:szCs w:val="14"/>
          <w:color w:val="auto"/>
        </w:rPr>
        <w:t>. Michael Long has served as a member of our Board since January 22, 2024. From May 2009 until May 2022 was the former chairman, president and chief executive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officer of Arrow Electronics, Inc. (“Arrow”). Prior to being named chief executive officer in May 2009, Mr. Long served as president and chief operating officer of Arrow, with responsibility for all of the company’s operations and business units. Before that, Mr. Long served as senior vice president of Arrow and president of the company’s Global Components business with responsibility for overseeing Arrow’s semiconductor, passive, electromechanical and connector products and services businesses worldwide. Mr. Long had been employed by Arrow since 1991 when Arrow merged with Schweber Electronics, a company where he held various leadership roles from 1983 to 1990. In 1994, Mr. Long was president, Capstone Electronics, an Arrow company, and from 1995 to 1999, he was president of Gates/Arrow Distributing. From 1998 to 2005, Mr. Long was president and chief operating officer of Arrow North American Computer Products (now Arrow Enterprise Computing Solutions). Mr. Long also served as president of North America and Asia/Pacific components. Mr. Long holds a bachelor’s degree in business administration from the University of Wisconsin and attended the Milwaukee School of Engineering. He is active in the Young Presidents’ Organization, a global peer networking group. Mr. Long served on the board of directors of AmerisourceBergen from May 2006 until March 2023 and currently serves on the boards of the following nonprofit organizations: UC Health and the National Western Stock Show.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Governance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of Directors</w:t>
      </w:r>
    </w:p>
    <w:p>
      <w:pPr>
        <w:spacing w:after="0" w:line="187"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In accordance with our Charter, the Board is divided into three classes with only one class of directors being elected in each year and each class serving a three-year term. 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an equal number of directors.</w:t>
      </w:r>
    </w:p>
    <w:p>
      <w:pPr>
        <w:spacing w:after="0" w:line="142"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Our Board is divided into three classes. Our Class I directors, Kurt Busch and William Carpou, were elected on March 3, 2025 to serve terms expiring at the Company’s 2028 annual meeting of stockholders. Our Class II directors, David Aldrich, Frederick Goerner and Keyvan Samini, were elected on March 23, 2026 to serve terms expiring at the Company’s 2029 annual meeting of stockholders. James Peterson was elected as a Class III director on December 18, 2023, together with Dr. Jiong Ma, for a term expiring at the Company’s 2027 annual meeting of stockholders. Dr. Ma resigned from the Board effective January 22, 2024 pursuant to a Resignation and Release Agreement with the Company, and the Board appointed Michael Long to fill the resulting Class III vacancy for a term expiring at the 2027 annual meeting of stockholders. On July 25, 2025, Fabrizio Battaglia stepped down from his role as Director, and Philip Sansone was appointed to serve as a Director.</w:t>
      </w:r>
    </w:p>
    <w:p>
      <w:pPr>
        <w:spacing w:after="0" w:line="316"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As a result of the conversion of the Class B Common Stock, the term of the directors elected by the holders of the Class B Common Stock (Mr. Goerner, Mr. Samini and Mr. Peterson) terminated and the authorized number of directors automatically decreased from eight to five. On August 24, 2026, the Board increased the size of the Board back to eight members and reappointed Mr. Goerner, Mr. Samini and Mr. Peterson to the Board in the same classes to which each person previously served and reappointed Mr. Goerner to the Audit Committee and Mr. Peterson as Executive Chairman.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Family Relationships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are no family relationships among any of the executive officers or directors of the Board.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8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The Board has determined, based on information provided by each director concerning his background, employment and affiliations, that Messrs. Aldrich, Busch, Carpou, Goerner and Long do not have relationships that would interfere with the exercise of independent judgment in carrying out the responsibilities of a director and that each of these directors is “independent” as that term is defined under the Nasdaq listing standards. In making these determinations, the Board considered the current and prior relationships that each non-employee director has with the Company and all other facts and circumstances the Board deemed relevant in determining their independence, including the beneficial ownership of our securities by each non-employee director and the transactions described in the section titled “</w:t>
      </w:r>
      <w:r>
        <w:rPr>
          <w:rFonts w:ascii="Times New Roman" w:cs="Times New Roman" w:eastAsia="Times New Roman" w:hAnsi="Times New Roman"/>
          <w:sz w:val="14"/>
          <w:szCs w:val="14"/>
          <w:i w:val="1"/>
          <w:iCs w:val="1"/>
          <w:color w:val="auto"/>
        </w:rPr>
        <w:t>Certain Mobix Labs Relationships and Related Person Transactions</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i w:val="1"/>
          <w:iCs w:val="1"/>
          <w:color w:val="auto"/>
        </w:rPr>
        <w:t>Committees of the Board of Directors</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Board currently has three standing committees: the audit committee, the compensation committee and a nominating committee. The Board has adopted a charter for each committee, each of which is available on the investor relations portion of our website. Members will serve on these committees until their resignation or until otherwise determined by the Board. The Board may establish other committees as it deems necessary or appropriate from time to time.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Director</w:t>
            </w: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Compensation</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Nominating</w:t>
            </w:r>
          </w:p>
        </w:tc>
        <w:tc>
          <w:tcPr>
            <w:tcW w:w="0" w:type="dxa"/>
            <w:vAlign w:val="bottom"/>
          </w:tcPr>
          <w:p>
            <w:pPr>
              <w:spacing w:after="0"/>
              <w:rPr>
                <w:sz w:val="1"/>
                <w:szCs w:val="1"/>
                <w:color w:val="auto"/>
              </w:rPr>
            </w:pPr>
          </w:p>
        </w:tc>
      </w:tr>
      <w:tr>
        <w:trPr>
          <w:trHeight w:val="190"/>
        </w:trPr>
        <w:tc>
          <w:tcPr>
            <w:tcW w:w="2380" w:type="dxa"/>
            <w:vAlign w:val="bottom"/>
            <w:gridSpan w:val="2"/>
            <w:vMerge w:val="continue"/>
          </w:tcPr>
          <w:p>
            <w:pPr>
              <w:spacing w:after="0"/>
              <w:rPr>
                <w:sz w:val="16"/>
                <w:szCs w:val="16"/>
                <w:color w:val="auto"/>
              </w:rPr>
            </w:pPr>
          </w:p>
        </w:tc>
        <w:tc>
          <w:tcPr>
            <w:tcW w:w="3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i w:val="1"/>
                <w:iCs w:val="1"/>
                <w:color w:val="auto"/>
              </w:rPr>
              <w:t>Committee</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Committee</w:t>
            </w:r>
          </w:p>
        </w:tc>
        <w:tc>
          <w:tcPr>
            <w:tcW w:w="0" w:type="dxa"/>
            <w:vAlign w:val="bottom"/>
          </w:tcPr>
          <w:p>
            <w:pPr>
              <w:spacing w:after="0"/>
              <w:rPr>
                <w:sz w:val="1"/>
                <w:szCs w:val="1"/>
                <w:color w:val="auto"/>
              </w:rPr>
            </w:pPr>
          </w:p>
        </w:tc>
      </w:tr>
      <w:tr>
        <w:trPr>
          <w:trHeight w:val="164"/>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David Aldrich</w:t>
            </w:r>
          </w:p>
        </w:tc>
        <w:tc>
          <w:tcPr>
            <w:tcW w:w="220" w:type="dxa"/>
            <w:vAlign w:val="bottom"/>
            <w:tcBorders>
              <w:top w:val="single" w:sz="8" w:color="CCEEFF"/>
            </w:tcBorders>
            <w:shd w:val="clear" w:color="auto" w:fill="CCEEFF"/>
          </w:tcPr>
          <w:p>
            <w:pPr>
              <w:spacing w:after="0"/>
              <w:rPr>
                <w:sz w:val="14"/>
                <w:szCs w:val="14"/>
                <w:color w:val="auto"/>
              </w:rPr>
            </w:pPr>
          </w:p>
        </w:tc>
        <w:tc>
          <w:tcPr>
            <w:tcW w:w="3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Borders>
              <w:top w:val="single" w:sz="8" w:color="CCEEFF"/>
            </w:tcBorders>
            <w:shd w:val="clear" w:color="auto" w:fill="CCEEFF"/>
          </w:tcPr>
          <w:p>
            <w:pPr>
              <w:spacing w:after="0"/>
              <w:rPr>
                <w:sz w:val="14"/>
                <w:szCs w:val="14"/>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Chair</w:t>
            </w:r>
          </w:p>
        </w:tc>
        <w:tc>
          <w:tcPr>
            <w:tcW w:w="0" w:type="dxa"/>
            <w:vAlign w:val="bottom"/>
          </w:tcPr>
          <w:p>
            <w:pPr>
              <w:spacing w:after="0"/>
              <w:rPr>
                <w:sz w:val="1"/>
                <w:szCs w:val="1"/>
                <w:color w:val="auto"/>
              </w:rPr>
            </w:pPr>
          </w:p>
        </w:tc>
      </w:tr>
      <w:tr>
        <w:trPr>
          <w:trHeight w:val="172"/>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Kurt Busch</w:t>
            </w:r>
          </w:p>
        </w:tc>
        <w:tc>
          <w:tcPr>
            <w:tcW w:w="3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Member</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2"/>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William Carpou</w:t>
            </w:r>
          </w:p>
        </w:tc>
        <w:tc>
          <w:tcPr>
            <w:tcW w:w="35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Chair and Financial Expert</w:t>
            </w:r>
          </w:p>
        </w:tc>
        <w:tc>
          <w:tcPr>
            <w:tcW w:w="2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Member</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Member</w:t>
            </w:r>
          </w:p>
        </w:tc>
        <w:tc>
          <w:tcPr>
            <w:tcW w:w="0" w:type="dxa"/>
            <w:vAlign w:val="bottom"/>
          </w:tcPr>
          <w:p>
            <w:pPr>
              <w:spacing w:after="0"/>
              <w:rPr>
                <w:sz w:val="1"/>
                <w:szCs w:val="1"/>
                <w:color w:val="auto"/>
              </w:rPr>
            </w:pPr>
          </w:p>
        </w:tc>
      </w:tr>
      <w:tr>
        <w:trPr>
          <w:trHeight w:val="172"/>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Frederick Goerner</w:t>
            </w:r>
          </w:p>
        </w:tc>
        <w:tc>
          <w:tcPr>
            <w:tcW w:w="3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Co-founder, Member</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2"/>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Michael Long</w:t>
            </w:r>
          </w:p>
        </w:tc>
        <w:tc>
          <w:tcPr>
            <w:tcW w:w="35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Chair</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Audit Committee</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audit committee consists of William Carpou and Frederick Goerner, with William Carpou serving as chair and as the “audit committee financial expert” within the meaning of the SEC regulations. The Board determined that each of Messrs. William Carpou and Frederick Goerner meet the definition of “independent director” for purposes of serving on the audit committee under Rule 10A-3 of the Exchange Act and the Nasdaq listing standards and also meets the financial literacy requirements of the Nasdaq listing standards.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primary functions of the audit committee include:</w:t>
      </w:r>
    </w:p>
    <w:p>
      <w:pPr>
        <w:spacing w:after="0" w:line="183" w:lineRule="exact"/>
        <w:rPr>
          <w:sz w:val="20"/>
          <w:szCs w:val="20"/>
          <w:color w:val="auto"/>
        </w:rPr>
      </w:pPr>
    </w:p>
    <w:p>
      <w:pPr>
        <w:ind w:left="1040" w:hanging="517"/>
        <w:spacing w:after="0"/>
        <w:tabs>
          <w:tab w:leader="none" w:pos="10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helping the Board oversee our corporate accounting and financial reporting processes;</w:t>
      </w:r>
    </w:p>
    <w:p>
      <w:pPr>
        <w:spacing w:after="0" w:line="24"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the selection, engagement, qualifications, independence, and performance of a qualified firm to serve as the independent registered public accounting firm to audit our financial statements;</w:t>
      </w:r>
    </w:p>
    <w:p>
      <w:pPr>
        <w:ind w:left="1040" w:hanging="517"/>
        <w:spacing w:after="0" w:line="256" w:lineRule="auto"/>
        <w:tabs>
          <w:tab w:leader="none" w:pos="10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discussing the scope and results of the audit with the independent registered public accounting firm, and reviewing, with management and the independent accountants, our interim and year-end operating results;</w:t>
      </w:r>
    </w:p>
    <w:p>
      <w:pPr>
        <w:ind w:left="1040" w:hanging="517"/>
        <w:spacing w:after="0" w:line="256" w:lineRule="auto"/>
        <w:tabs>
          <w:tab w:leader="none" w:pos="10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p>
      <w:pPr>
        <w:ind w:left="1040" w:hanging="517"/>
        <w:spacing w:after="0"/>
        <w:tabs>
          <w:tab w:leader="none" w:pos="10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procedures for employees to submit concerns anonymously about questionable accounting or audit matters;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our policies on risk assessment and risk management;</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compliance with our code of business conduct and ethics;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related person transactions; and</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or, as required, pre-approving audit and permissible non-audit services to be performed by the independent registered public accounting firm.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Committee</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compensation committee consists of Frederick Goerner, David Aldrich and William Carpou, with Frederick Goerner serving as chair. The Board determined that Frederick Goerner, David Aldrich and William Carpou each meet the definition of “independent director” for purposes of serving on the compensation committee under the Nasdaq listing standards, including the heightened independence standards for members of a compensation committee.</w:t>
      </w:r>
    </w:p>
    <w:p>
      <w:pPr>
        <w:spacing w:after="0" w:line="13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primary purpose of our compensation committee is to discharge the responsibilities of the Board in overseeing our compensation policies, plans and programs and to review and determine the compensation to be paid to our executive officers, directors and other senior management, as appropriate. The principal functions of the compensation committee are expected to include, among other things:</w:t>
      </w:r>
    </w:p>
    <w:p>
      <w:pPr>
        <w:spacing w:after="0" w:line="135" w:lineRule="exact"/>
        <w:rPr>
          <w:sz w:val="20"/>
          <w:szCs w:val="20"/>
          <w:color w:val="auto"/>
        </w:rPr>
      </w:pPr>
    </w:p>
    <w:p>
      <w:pPr>
        <w:ind w:left="1040" w:hanging="517"/>
        <w:spacing w:after="0" w:line="293" w:lineRule="auto"/>
        <w:tabs>
          <w:tab w:leader="none" w:pos="10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approving and determining, or making recommendations to the Board regarding, the compensation of our chief executive officer, other executive officers and senior management;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64" w:name="page65"/>
    <w:bookmarkEnd w:id="64"/>
    <w:p>
      <w:pPr>
        <w:ind w:left="1040" w:hanging="517"/>
        <w:spacing w:after="0"/>
        <w:tabs>
          <w:tab w:leader="none" w:pos="10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evaluating and recommending to the Board succession plans for our executive officers;</w:t>
      </w:r>
    </w:p>
    <w:p>
      <w:pPr>
        <w:spacing w:after="0" w:line="24"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recommending to the Board the compensation paid to our non-employee directors;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administering our equity incentive plans and other benefit programs;</w:t>
      </w:r>
    </w:p>
    <w:p>
      <w:pPr>
        <w:spacing w:after="0" w:line="11" w:lineRule="exact"/>
        <w:rPr>
          <w:rFonts w:ascii="Times New Roman" w:cs="Times New Roman" w:eastAsia="Times New Roman" w:hAnsi="Times New Roman"/>
          <w:sz w:val="14"/>
          <w:szCs w:val="14"/>
          <w:color w:val="auto"/>
        </w:rPr>
      </w:pPr>
    </w:p>
    <w:p>
      <w:pPr>
        <w:ind w:left="1040" w:hanging="517"/>
        <w:spacing w:after="0" w:line="256" w:lineRule="auto"/>
        <w:tabs>
          <w:tab w:leader="none" w:pos="10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ind w:left="1040" w:hanging="517"/>
        <w:spacing w:after="0"/>
        <w:tabs>
          <w:tab w:leader="none" w:pos="10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establishing general policies relating to compensation and benefits of our employees, including our overall compensation philosophy.</w:t>
      </w:r>
    </w:p>
    <w:p>
      <w:pPr>
        <w:spacing w:after="0" w:line="170" w:lineRule="exact"/>
        <w:rPr>
          <w:sz w:val="20"/>
          <w:szCs w:val="20"/>
          <w:color w:val="auto"/>
        </w:rPr>
      </w:pPr>
    </w:p>
    <w:p>
      <w:pPr>
        <w:ind w:firstLine="517"/>
        <w:spacing w:after="0" w:line="293" w:lineRule="auto"/>
        <w:rPr>
          <w:sz w:val="20"/>
          <w:szCs w:val="20"/>
          <w:color w:val="auto"/>
        </w:rPr>
      </w:pPr>
      <w:r>
        <w:rPr>
          <w:rFonts w:ascii="Times New Roman" w:cs="Times New Roman" w:eastAsia="Times New Roman" w:hAnsi="Times New Roman"/>
          <w:sz w:val="14"/>
          <w:szCs w:val="14"/>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Nominating Committee</w:t>
      </w:r>
    </w:p>
    <w:p>
      <w:pPr>
        <w:spacing w:after="0" w:line="185" w:lineRule="exact"/>
        <w:rPr>
          <w:sz w:val="20"/>
          <w:szCs w:val="20"/>
          <w:color w:val="auto"/>
        </w:rPr>
      </w:pPr>
    </w:p>
    <w:p>
      <w:pPr>
        <w:ind w:firstLine="517"/>
        <w:spacing w:after="0" w:line="293" w:lineRule="auto"/>
        <w:rPr>
          <w:sz w:val="20"/>
          <w:szCs w:val="20"/>
          <w:color w:val="auto"/>
        </w:rPr>
      </w:pPr>
      <w:r>
        <w:rPr>
          <w:rFonts w:ascii="Times New Roman" w:cs="Times New Roman" w:eastAsia="Times New Roman" w:hAnsi="Times New Roman"/>
          <w:sz w:val="14"/>
          <w:szCs w:val="14"/>
          <w:color w:val="auto"/>
        </w:rPr>
        <w:t>The nominating committee consists of David Aldrich and William Carpou, with David Aldrich serving as chair. The Board determined that David Aldrich and William Carpou each meet the definition of “independent director” under the Nasdaq listing standards.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nominating committee is responsible for, among other things:</w:t>
      </w:r>
    </w:p>
    <w:p>
      <w:pPr>
        <w:spacing w:after="0" w:line="183" w:lineRule="exact"/>
        <w:rPr>
          <w:sz w:val="20"/>
          <w:szCs w:val="20"/>
          <w:color w:val="auto"/>
        </w:rPr>
      </w:pPr>
    </w:p>
    <w:p>
      <w:pPr>
        <w:ind w:left="1040" w:hanging="517"/>
        <w:spacing w:after="0"/>
        <w:tabs>
          <w:tab w:leader="none" w:pos="10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and evaluating candidates, including the nomination of incumbent directors for reelection and nominees recommended by stockholders, to serve on the Board;</w:t>
      </w:r>
    </w:p>
    <w:p>
      <w:pPr>
        <w:spacing w:after="0" w:line="24"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considering and making recommendations to the Board regarding the composition and chairmanship of the committees of the Board;</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instituting plans or programs for the continuing education of the Board and the orientation of new directors;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and making recommendations to the Board regarding corporate governance guidelines and matters;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our corporate governance practices;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periodic evaluations of the Board’s performance, including committees of the Board; and</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contributing to succession planning.</w:t>
      </w:r>
    </w:p>
    <w:p>
      <w:pPr>
        <w:spacing w:after="0" w:line="170"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The nominating and corporate governance committee is governed by a charter that complies with the rules of Nasdaq. In selecting director nominees for election by the stockholders or appointment by the Board consistent with the Board’s criteria for new directors, the Nominating Committee considers, among other criterion, knowledge, experience, skills, diversity and expertise so as to enhance the Board’s ability to manage and direct the affairs and business of the Company, including, when applicable, to enhance the ability of committees of the Board to fulfill their duties and/or to satisfy any independence requirements imposed by law, regulation, Nasdaq listing standards or the Company’s Bylaws.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Leadership Structure</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The Board is responsible for selecting the Chief Executive Officer and the Chairman of the Board; both of these positions may be held by the same person or by two separate individuals. Currently, Philip Sansone serves as the Chief Executive Officer and a director and James Peterson serves as the Chairman of the Board. The Board believes separating the positions of Chairman of the Board and Chief Executive Officer allows the Chief Executive Officer to focus on the Company’s day-to-day business and operations, while allowing our Chairman to lead the Board in its fundamental role of providing advice to and oversight of management.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color w:val="auto"/>
        </w:rPr>
        <w:t>Role of Board of Directors in Risk Oversight Process</w:t>
      </w:r>
    </w:p>
    <w:p>
      <w:pPr>
        <w:spacing w:after="0" w:line="18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Our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cybersecurity, strategic and reputational risk. While each committee is responsible for evaluating certain risks and overseeing the management of such risks, our full Board is regularly informed of such risks through committee reports and otherwise. While the Board oversees our risk management, management is responsible for day-to-day risk management processes.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 Interlocks and Insider Participation</w:t>
      </w:r>
    </w:p>
    <w:p>
      <w:pPr>
        <w:spacing w:after="0" w:line="187"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None of the Company’s executive officers currently serve, or in the past year have served, as members of the Board or compensation committee of any entity that has one or more executive officers serving on the Board.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Code of Business Conduct and Ethics</w:t>
      </w:r>
    </w:p>
    <w:p>
      <w:pPr>
        <w:spacing w:after="0" w:line="187"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4"/>
          <w:szCs w:val="14"/>
          <w:color w:val="auto"/>
        </w:rPr>
        <w:t>We have a code of business conduct and ethics that applies to all of our executive officers, directors and employees, including our principal executive officer, principal financial officer, principal accounting officer or controller or persons performing similar functions. The code of business conduct and ethics is available on the investor relations portion of our website. We intend to make any legally required disclosures regarding amendments to, or waivers of, provisions of our code of business conduct and ethics on our website rather than by filing a Current Report on Form 8-K.</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Insider Trading Policy</w:t>
      </w:r>
    </w:p>
    <w:p>
      <w:pPr>
        <w:spacing w:after="0" w:line="187"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We have an insider trading policy and procedures that govern the purchase, sale and/or other dispositions of our securities by directors, officers, and employees, together with their immediate family members and other persons living in their households. We believe our insider trading policy and procedures are reasonably designed to promote compliance with insider trading laws, rules and regulations, and any applicable Nasdaq standards. In addition, it is the policy of the Company to comply with applicable U.S. securities laws, including laws, rules and regulations related to trading in our securities. A copy of our Insider Trading Policy was filed as an exhibit to our Form 10-K for the year ended September 30,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 on Liability and Indemnification of Officers and Directors</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Bylaws provide that our directors and officers will be indemnified and advanced expenses by the Company to the fullest extent permitted by applicable law. In addition, the Charter provides that our directors and officers will not be liable to the Company or its stockholders for monetary damages for breaches of their fiduciary duty as directors and officers, except to the extent such exemption from liability or limitation thereof is not permitted under the DGCL.</w:t>
      </w:r>
    </w:p>
    <w:p>
      <w:pPr>
        <w:spacing w:after="0" w:line="13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Bylaws also permit the Company to purchase and maintain insurance on behalf of any director, officer, employee or agent of the Company for any liability arising out of his or her status as such, regardless of whether the DGCL would permit indemnification.</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These provisions may discourage stockholders from bringing a lawsuit against the Company’s directors or officers for breach of their fiduciary duty. These provisions also may have the effect of reducing the likelihood of derivative litigation against directors and officers, even though such an action, if successful, might otherwise benefit the Company and its stockholders. Furthermore, a stockholder’s investment may be adversely affected to the extent the Company pays the costs of settlement and damage awards against directors and officers pursuant to these indemnification and advancement provisions.</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the Company’s directors, officers and controlling persons pursuant to the foregoing provisions, or otherwise, in the opinion of the SEC, such indemnification is against public policy as expressed in the Securities Act and is, therefore, unenforceable.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color w:val="auto"/>
        </w:rPr>
        <w:t>EXECUTIVE AND DIRECTOR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185" w:lineRule="exact"/>
        <w:rPr>
          <w:sz w:val="20"/>
          <w:szCs w:val="20"/>
          <w:color w:val="auto"/>
        </w:rPr>
      </w:pPr>
    </w:p>
    <w:p>
      <w:pPr>
        <w:jc w:val="both"/>
        <w:ind w:firstLine="517"/>
        <w:spacing w:after="0" w:line="286" w:lineRule="auto"/>
        <w:rPr>
          <w:sz w:val="20"/>
          <w:szCs w:val="20"/>
          <w:color w:val="auto"/>
        </w:rPr>
      </w:pPr>
      <w:r>
        <w:rPr>
          <w:rFonts w:ascii="Times New Roman" w:cs="Times New Roman" w:eastAsia="Times New Roman" w:hAnsi="Times New Roman"/>
          <w:sz w:val="14"/>
          <w:szCs w:val="14"/>
          <w:color w:val="auto"/>
        </w:rPr>
        <w:t>As a smaller reporting company,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w:t>
      </w:r>
    </w:p>
    <w:p>
      <w:pPr>
        <w:spacing w:after="0" w:line="30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The following table contains compensation data for our named executive officers for the fiscal years ended September 30, 2026 and 2025. In this section, “Named Executive Officer” or “NEO” means the principal executive officer and each of the two most highly compensated executive officers, other than the principal executive officer, who were serving as executive officers for the year ended September 30, 2026 and whose total compensation exceeds $100,000, as well as any additional individuals for whom disclosure would have been provided except that the individual was not serving as an executive officer of us at September 30, 2026.</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For fiscal year 2026, we only had one other executive officer outside of our principal executive officer. These individuals, and who are referred to in this section as “named executive officers,” and their positions are as follows:</w:t>
      </w:r>
    </w:p>
    <w:p>
      <w:pPr>
        <w:spacing w:after="0" w:line="121" w:lineRule="exact"/>
        <w:rPr>
          <w:sz w:val="20"/>
          <w:szCs w:val="20"/>
          <w:color w:val="auto"/>
        </w:rPr>
      </w:pPr>
    </w:p>
    <w:p>
      <w:pPr>
        <w:ind w:left="520" w:hanging="256"/>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Philip Sansone: </w:t>
      </w:r>
      <w:r>
        <w:rPr>
          <w:rFonts w:ascii="Times New Roman" w:cs="Times New Roman" w:eastAsia="Times New Roman" w:hAnsi="Times New Roman"/>
          <w:sz w:val="14"/>
          <w:szCs w:val="14"/>
          <w:i w:val="1"/>
          <w:iCs w:val="1"/>
          <w:color w:val="auto"/>
        </w:rPr>
        <w:t>Chief Executive Officer and Director</w:t>
      </w:r>
    </w:p>
    <w:p>
      <w:pPr>
        <w:spacing w:after="0" w:line="26"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Keyvan Samini: </w:t>
      </w:r>
      <w:r>
        <w:rPr>
          <w:rFonts w:ascii="Times New Roman" w:cs="Times New Roman" w:eastAsia="Times New Roman" w:hAnsi="Times New Roman"/>
          <w:sz w:val="14"/>
          <w:szCs w:val="14"/>
          <w:i w:val="1"/>
          <w:iCs w:val="1"/>
          <w:color w:val="auto"/>
        </w:rPr>
        <w:t>Co-founder, President, Chief Financial Officer and Director</w:t>
      </w:r>
    </w:p>
    <w:p>
      <w:pPr>
        <w:spacing w:after="0" w:line="169"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discussion may contain forward-looking statements that are based on our current plans, considerations, expectations and determinations regarding future compensation programs.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information concerning the compensation of the named executive officers for the fiscal years ended September 30, 2026 and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5"/>
        </w:trPr>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8"/>
                <w:szCs w:val="18"/>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8"/>
                <w:szCs w:val="18"/>
                <w:color w:val="auto"/>
              </w:rPr>
            </w:pPr>
          </w:p>
        </w:tc>
        <w:tc>
          <w:tcPr>
            <w:tcW w:w="1000" w:type="dxa"/>
            <w:vAlign w:val="bottom"/>
          </w:tcPr>
          <w:p>
            <w:pPr>
              <w:jc w:val="right"/>
              <w:ind w:right="268"/>
              <w:spacing w:after="0" w:line="215"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18"/>
                <w:szCs w:val="18"/>
                <w:color w:val="auto"/>
              </w:rPr>
            </w:pPr>
          </w:p>
        </w:tc>
        <w:tc>
          <w:tcPr>
            <w:tcW w:w="1000" w:type="dxa"/>
            <w:vAlign w:val="bottom"/>
          </w:tcPr>
          <w:p>
            <w:pPr>
              <w:jc w:val="center"/>
              <w:spacing w:after="0" w:line="215"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(2)</w:t>
            </w:r>
          </w:p>
        </w:tc>
        <w:tc>
          <w:tcPr>
            <w:tcW w:w="220" w:type="dxa"/>
            <w:vAlign w:val="bottom"/>
          </w:tcPr>
          <w:p>
            <w:pPr>
              <w:spacing w:after="0"/>
              <w:rPr>
                <w:sz w:val="18"/>
                <w:szCs w:val="18"/>
                <w:color w:val="auto"/>
              </w:rPr>
            </w:pPr>
          </w:p>
        </w:tc>
        <w:tc>
          <w:tcPr>
            <w:tcW w:w="10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Philip Sansone</w:t>
            </w:r>
          </w:p>
        </w:tc>
        <w:tc>
          <w:tcPr>
            <w:tcW w:w="12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390,000</w:t>
            </w:r>
          </w:p>
        </w:tc>
        <w:tc>
          <w:tcPr>
            <w:tcW w:w="24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390,000</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266,917</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1,760,000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2,026,917</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Keyvan Samini</w:t>
            </w: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360,000</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Co-Founder, President and Chief Financial Officer, and Director</w:t>
            </w:r>
          </w:p>
        </w:tc>
        <w:tc>
          <w:tcPr>
            <w:tcW w:w="102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309,000</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5,274,997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66,115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5,650,112</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260" w:hanging="254"/>
        <w:spacing w:after="0" w:line="268" w:lineRule="auto"/>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in this column for co-founder Mr. Samini represents the aggregate grant date fair value of the stock awards in accordance with ASC Topic 718, which is based on the stock price on the date of the Closing of $104.70. However, the value received at issuance of the Post-Closing RSUs on April 15, 2025 was approximately $283,333, which is based on the issuance date stock price of $8.50. For additional information on the valuation assumptions regarding these awards, refer to Note 16 to our audited consolidated financial statements for the year ended September 30, 2025, which are included in our 2025 Form 10-K filed with the SEC.</w:t>
      </w:r>
    </w:p>
    <w:p>
      <w:pPr>
        <w:spacing w:after="0" w:line="141"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2025, for Mr. Samini, includes reimbursement for the payment of taxes owed.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color w:val="auto"/>
        </w:rPr>
        <w:t>Narrative Disclosure to Summary Compensation Table</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For the fiscal years ended September 30, 2026 and 2025, the compensation program for our named executive officers consisted of base salary, cash bonus, equity awards, and certain standard employee benefits.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Employment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Philip Sansone</w:t>
      </w:r>
    </w:p>
    <w:p>
      <w:pPr>
        <w:spacing w:after="0" w:line="18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Mr. Sansone has served as our Chief Executive Officer and as a Class I member of our Board of Directors since July 25, 2025. We are a party to an Executive Employment Agreement with Mr. Sansone, pursuant to which he serves as our Chief Executive Officer and as a member of our Board. The agreement was entered into on September 11, 2026 and is effective as of July 25, 2025. It has an initial term ending on the second anniversary of the effective date, which will automatically renew for additional consecutive two-year terms unless the Board gives notice of non-renewal within the 60 to 90 day period before the expiration of the applicable term. At each annual meeting of stockholders before his termination, we will nominate Mr. Sansone to serve as a Class I director, subject to stockholder approval.</w:t>
      </w:r>
    </w:p>
    <w:p>
      <w:pPr>
        <w:spacing w:after="0" w:line="144"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Under his Executive Employment Agreement, Mr. Sansone is entitled to receive a base salary of $390,000 per year, which may be increased, but not decreased, by the Board. He is also eligible to receive performance-based bonuses of up to 100% of his base salary, or such additional amount as the Board approves, under a discretionary bonus program established by the Board, subject to his continued employment through the payment date. In addition, pursuant to his Executive Employment Agreement, on September 19, 2025, Mr. Sansone was granted 100,000 restricted stock units, subject to the terms of a restricted stock unit agreement under our equity incentive plan. Mr. Sansone is also eligible to participate in the employee benefit plans available to our executive officers, including our 401(k) plan.</w:t>
      </w:r>
    </w:p>
    <w:p>
      <w:pPr>
        <w:spacing w:after="0" w:line="144"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If we terminate Mr. Sansone’s employment without Cause (other than due to death or Disability), or Mr. Sansone resigns for Good Reason (as defined in the Executive Employment Agreement), Mr. Sansone is entitled to the following, subject to his execution and non-revocation of a release of claims. He would receive (i) two times the sum of his base salary and target bonus, payable in a single lump sum on the 30th day following his termination date. He would also receive (ii) up to 24 months of continued medical coverage for himself, his spouse and eligible dependents, with the premiums paid or reimbursed by us, or, if earlier, until he obtains full-time employment providing comprehensive medical coverage. The treatment of his outstanding equity awards will be governed by the applicable award agreements. If we terminate Mr. Sansone’s employment without Cause, or Mr. Sansone resigns for Good Reason, within 12 months following a change in control, or within 60 days before a change in control that was under consideration at the time of termination, Mr. Sansone will receive the same two times severance payment in a lump sum and up to 24 months of COBRA premium reimbursement. In that case, however, his base salary and target bonus are calculated using the highest amounts in effect at specified times, including immediately prior to the change in control. In addition, any equity award not governed by a separate award agreement will vest to the extent it would have vested within 24 months following termination, and will remain exercisable for the longer of one year or its original term. Mr. Sansone is entitled to substantially similar cash severance and COBRA benefits upon a termination due to Disability. Mr. Sansone is subject to a 24-month post-termination non-solicitation covenant, as well as confidentiality and invention assignment obligations.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Keyvan Samini</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Mr. Samini is a co-founder of the Company. We are a party to an Employment Term Sheet with Mr. Samini, pursuant to which he serves as our President, and Chief Financial Officer with an initial term of two years, effective November 15, 2022, which will automatically renew for additional consecutive one-year terms unless either party provides the other party with 180 days’ notice of the intent not to renew prior to the expiration of the applicable terms.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68" w:name="page69"/>
    <w:bookmarkEnd w:id="68"/>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Under his Employment Term Sheet, Mr. Samini is entitled to receive a base salary of $360,000 per year and is also eligible to receive performance-based cash bonuses up to 100% of his base salary, the amount and terms of which shall be in the discretion of the Board. In addition, Mr. Samini will be granted, on the first, second and third anniversaries of December 21, 2023, Post-Closing RSUs with respect to 33,333 shares of Class A Common Stock, which will vest on the first anniversary of the applicable grant date, subject to his continuous service to us through the applicable grant dates and vesting dates. The Post-Closing RSUs will become fully vested in the event of a change of control, or if Mr. Samini’s employment is terminated either without cause or by him for Good Reason (as defined in the Employment Term Sheet).</w:t>
      </w:r>
    </w:p>
    <w:p>
      <w:pPr>
        <w:spacing w:after="0" w:line="144"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If we terminate Mr. Samini’s employment without cause, or Mr. Samini resigns for Good Reason, Mr. Samini is entitled to (i) two times the amount of Mr. Samini’s base compensation and two times the amount of the target bonus amount in which termination occurs, payable in equal installments over 24 months, and (ii) subject to Mr. Samini’s election of COBRA continuation coverage, reimbursement for up to 24 months of subsidized COBRA benefits or if earlier, on the date on which Mr. Samini becomes covered under another group health plan. However, if we terminate Mr. Samini’s employment without cause, or Mr. Samini resigns for Good Reason during the period commencing 60 days prior to and ending 12 months following a change in control, the severance amount described immediately above shall be increased to three times (and paid in a lump sum payment), and the COBRA reimbursement will increase to 36 months.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Base Salary</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base salary for each named executive officer was set at a level that is commensurate with the executive’s duties and authorities, contributions, prior experience and sustained performance. The annual base salary earned by the named executive officers for each of the fiscal years ended September 30, 2026 and 2025 is set forth in the summary compensation table above under the column heading “Salary.”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Bonus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fiscal years 2025 and 2026, the Compensation Committee did not approve a bonus to any of our NEOs.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Compensation</w:t>
      </w:r>
    </w:p>
    <w:p>
      <w:pPr>
        <w:spacing w:after="0" w:line="187"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executive officers to remain in our employment during the vesting period. Accordingly, our Board periodically reviews the equity incentive compensation of our NEOs and grant equity incentive awards to them from time to time. On May 5, 2022, the following restricted stock units (“RSUs”) were granted to the following directors and executive officers:</w:t>
      </w:r>
    </w:p>
    <w:p>
      <w:pPr>
        <w:spacing w:after="0" w:line="2" w:lineRule="exact"/>
        <w:rPr>
          <w:sz w:val="20"/>
          <w:szCs w:val="20"/>
          <w:color w:val="auto"/>
        </w:rPr>
      </w:pPr>
    </w:p>
    <w:p>
      <w:pPr>
        <w:jc w:val="both"/>
        <w:ind w:firstLine="6"/>
        <w:spacing w:after="0" w:line="260" w:lineRule="auto"/>
        <w:tabs>
          <w:tab w:leader="none" w:pos="17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co-founder James Peterson in the amount of 100,000 RSUs; (ii) co-founder Frederick Goerner in the amount of 100,000 RSUs; and (iii) co-founder Keyvan Samini in the amount of 200,000 RSUs. These RSUs originally vested upon the satisfaction of both time-based vesting requirements and performance conditions. These RSUs were amended on November 15, 2022 to provide for a three-year vesting schedule, with one-third of the total RSUs vesting on each anniversary of the Closing. These RSUs were subsequently cancelled, effective March 26, 2023</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In exchange, Messrs. Peterson, Goerner and Samini, each a co-founder, received a commitment from us to issue one-half of that number of RSUs over three years, beginning on the first anniversary of the Closing, referred to as “Post-Closing RSUs.”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fiscal 2026, neither of our NEOs received equity incentive awards, and no Post-Closing RSUs were granted to Mr. Samini.</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fiscal 2025, our NEOs received the following equity incentive awards.</w:t>
      </w:r>
    </w:p>
    <w:p>
      <w:pPr>
        <w:spacing w:after="0" w:line="183" w:lineRule="exact"/>
        <w:rPr>
          <w:sz w:val="20"/>
          <w:szCs w:val="20"/>
          <w:color w:val="auto"/>
        </w:rPr>
      </w:pPr>
    </w:p>
    <w:p>
      <w:pPr>
        <w:ind w:firstLine="517"/>
        <w:spacing w:after="0" w:line="293" w:lineRule="auto"/>
        <w:rPr>
          <w:sz w:val="20"/>
          <w:szCs w:val="20"/>
          <w:color w:val="auto"/>
        </w:rPr>
      </w:pPr>
      <w:r>
        <w:rPr>
          <w:rFonts w:ascii="Times New Roman" w:cs="Times New Roman" w:eastAsia="Times New Roman" w:hAnsi="Times New Roman"/>
          <w:sz w:val="14"/>
          <w:szCs w:val="14"/>
          <w:color w:val="auto"/>
        </w:rPr>
        <w:t>On January 22, 2024, the Compensation Committee approved, subject to stockholder approval of Mobix Labs stockholders, which was obtained on January 3, 2025, a grant of 255,000 restricted stock awards to Mr. Samini in consideration of his efforts in connection with the public listing of our shares on Nasdaq.</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69" w:name="page70"/>
    <w:bookmarkEnd w:id="69"/>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The restricted stock awards for the co-founder Mr. Samini have the following vesting terms: (1) 5% will vest on the earlier of (i) the Company’s Class A Common Stock closing at or above $20.00 for 10 consecutive trading days on Nasdaq or (ii) July 1, 2025; (2) 10% will vest on the earlier of (i) the Company’s Class A Common Stock closing at or above $20.00 for 10 consecutive trading days on Nasdaq, or (ii) November 1, 2025; (3) 10% will vest on the earlier of (i) the Company’s Class A Common Stock closing at or above $20.00 for 10 consecutive trading days on Nasdaq or (ii) January 1, 2026; (4) 25% will vest on the earlier of (i) the Company’s Class A Common Stock closing at or above $30.00 for 10 consecutive trading days on Nasdaq or (ii) April 1, 2026; (5) 25% will vest on the earlier of (i) the Company’s Class A Common Stock closing at or above $35.00 for 10 consecutive trading days on Nasdaq or (ii) July 1, 2026; and (6) 25% will vest on the earlier of (i) the Company’s Class A Common Stock closing at or above $40.00 for 10 consecutive trading days on Nasdaq or (ii) November 1, 2026.</w:t>
      </w:r>
    </w:p>
    <w:p>
      <w:pPr>
        <w:spacing w:after="0" w:line="143"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On April 10, 2025, Mr. Sansone forfeited options to purchase 17,218 shares of Mobix Class A Common Stock. In exchange, the Compensation Committee granted 40,000 RSUs and 60,000 RSUs to Mr. Sansone on April 10, 2025 and April 15, 2025, respectively (collectively, the “Sansone RSUs”). Ninety percent of the Sansone RSUs vested at each respective grant date, and the remaining ten percent vest in equal installments on the last day of each calendar month thereafter until fully vested on January 1, 2026. The delivery of shares underlying the Sansone RSUs will be deferred until the earlier of (i) Mr. Sansone’s separation from service, disability, death; (ii) a change in control of the Company; (iii) the occurrence of an unforeseeable emergency for the participant as defined under Section 409A of the Internal Revenue Code; or (iv) January 1, 2026.</w:t>
      </w:r>
    </w:p>
    <w:p>
      <w:pPr>
        <w:spacing w:after="0" w:line="144"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April 15, 2025, the Compensation Committee granted 33,333 Post-Closing RSUs to Mr. Samini (which grants were originally planned to be issued on the first anniversary of the Closing). The Post-Closing RSUs vested in their entirety on December 21, 2025.</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September 19, 2025, the Compensation Committee granted Mr. Sansone 100,000 RSUs which vest in equal installments on (i) January 1, 2027, (ii) April 1, 2027, (iii) July 1, 2027 and (iv) October 1, 2027.</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Benefits and Perquisites</w:t>
      </w:r>
    </w:p>
    <w:p>
      <w:pPr>
        <w:spacing w:after="0" w:line="187"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In the fiscal years ended September 30, 2026 and 2025, we provided benefits to our NEOs on the same basis as provided to all of its employees, including medical, dental, vision, life and AD&amp;D, and short- and long-term disability insurance, vacation and paid holidays. The NEOs are also eligible to participate in our 401(k) plan.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90"/>
        </w:trPr>
        <w:tc>
          <w:tcPr>
            <w:tcW w:w="372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i w:val="1"/>
                <w:iCs w:val="1"/>
                <w:color w:val="auto"/>
              </w:rPr>
              <w:t>Outstanding Equity Awards at 2026 Fiscal Year-End</w:t>
            </w: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4"/>
        </w:trPr>
        <w:tc>
          <w:tcPr>
            <w:tcW w:w="8020" w:type="dxa"/>
            <w:vAlign w:val="bottom"/>
            <w:gridSpan w:val="15"/>
          </w:tcPr>
          <w:p>
            <w:pPr>
              <w:jc w:val="right"/>
              <w:ind w:right="140"/>
              <w:spacing w:after="0"/>
              <w:rPr>
                <w:sz w:val="20"/>
                <w:szCs w:val="20"/>
                <w:color w:val="auto"/>
              </w:rPr>
            </w:pPr>
            <w:r>
              <w:rPr>
                <w:rFonts w:ascii="Times New Roman" w:cs="Times New Roman" w:eastAsia="Times New Roman" w:hAnsi="Times New Roman"/>
                <w:sz w:val="14"/>
                <w:szCs w:val="14"/>
                <w:color w:val="auto"/>
              </w:rPr>
              <w:t>The following table presents, for each of our NEOs, information regarding outstanding equity awards as of September 30, 2026.</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5"/>
        </w:trPr>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Option Awards</w:t>
            </w: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7"/>
        </w:trPr>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ind w:left="8"/>
              <w:spacing w:after="0" w:line="147"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r>
      <w:tr>
        <w:trPr>
          <w:trHeight w:val="172"/>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Incentive</w:t>
            </w:r>
          </w:p>
        </w:tc>
      </w:tr>
      <w:tr>
        <w:trPr>
          <w:trHeight w:val="172"/>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Plan</w:t>
            </w:r>
          </w:p>
        </w:tc>
      </w:tr>
      <w:tr>
        <w:trPr>
          <w:trHeight w:val="172"/>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Awards:</w:t>
            </w:r>
          </w:p>
        </w:tc>
      </w:tr>
      <w:tr>
        <w:trPr>
          <w:trHeight w:val="172"/>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Plan</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or</w:t>
            </w:r>
          </w:p>
        </w:tc>
      </w:tr>
      <w:tr>
        <w:trPr>
          <w:trHeight w:val="172"/>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Payout</w:t>
            </w:r>
          </w:p>
        </w:tc>
      </w:tr>
      <w:tr>
        <w:trPr>
          <w:trHeight w:val="172"/>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Value of</w:t>
            </w:r>
          </w:p>
        </w:tc>
      </w:tr>
      <w:tr>
        <w:trPr>
          <w:trHeight w:val="172"/>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Unearned</w:t>
            </w:r>
          </w:p>
        </w:tc>
      </w:tr>
      <w:tr>
        <w:trPr>
          <w:trHeight w:val="172"/>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72"/>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or Units</w:t>
            </w:r>
          </w:p>
        </w:tc>
        <w:tc>
          <w:tcPr>
            <w:tcW w:w="1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Units or</w:t>
            </w: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Units or</w:t>
            </w:r>
          </w:p>
        </w:tc>
      </w:tr>
      <w:tr>
        <w:trPr>
          <w:trHeight w:val="172"/>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 Stock</w:t>
            </w:r>
          </w:p>
        </w:tc>
        <w:tc>
          <w:tcPr>
            <w:tcW w:w="1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172"/>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That</w:t>
            </w:r>
          </w:p>
        </w:tc>
        <w:tc>
          <w:tcPr>
            <w:tcW w:w="1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That</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Rights</w:t>
            </w:r>
          </w:p>
        </w:tc>
      </w:tr>
      <w:tr>
        <w:trPr>
          <w:trHeight w:val="172"/>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1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That Have</w:t>
            </w:r>
          </w:p>
        </w:tc>
      </w:tr>
      <w:tr>
        <w:trPr>
          <w:trHeight w:val="172"/>
        </w:trPr>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6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1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Not Vested</w:t>
            </w:r>
          </w:p>
        </w:tc>
      </w:tr>
      <w:tr>
        <w:trPr>
          <w:trHeight w:val="188"/>
        </w:trPr>
        <w:tc>
          <w:tcPr>
            <w:tcW w:w="1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Date</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3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Type</w:t>
            </w:r>
          </w:p>
        </w:tc>
        <w:tc>
          <w:tcPr>
            <w:tcW w:w="2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($)(1)</w:t>
            </w:r>
          </w:p>
        </w:tc>
        <w:tc>
          <w:tcPr>
            <w:tcW w:w="3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6"/>
                <w:szCs w:val="16"/>
                <w:color w:val="auto"/>
              </w:rPr>
            </w:pPr>
          </w:p>
        </w:tc>
      </w:tr>
      <w:tr>
        <w:trPr>
          <w:trHeight w:val="196"/>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Philip Sansone</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4/15/2025</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4"/>
                <w:szCs w:val="14"/>
                <w:color w:val="auto"/>
              </w:rPr>
              <w:t>RSU</w:t>
            </w:r>
            <w:r>
              <w:rPr>
                <w:rFonts w:ascii="Times New Roman" w:cs="Times New Roman" w:eastAsia="Times New Roman" w:hAnsi="Times New Roman"/>
                <w:sz w:val="22"/>
                <w:szCs w:val="22"/>
                <w:color w:val="auto"/>
                <w:vertAlign w:val="superscript"/>
              </w:rPr>
              <w:t>(2)</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8,473</w:t>
            </w:r>
          </w:p>
        </w:tc>
        <w:tc>
          <w:tcPr>
            <w:tcW w:w="3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10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9/19/2025</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200"/>
              <w:spacing w:after="0" w:line="204" w:lineRule="exact"/>
              <w:rPr>
                <w:sz w:val="20"/>
                <w:szCs w:val="20"/>
                <w:color w:val="auto"/>
              </w:rPr>
            </w:pPr>
            <w:r>
              <w:rPr>
                <w:rFonts w:ascii="Times New Roman" w:cs="Times New Roman" w:eastAsia="Times New Roman" w:hAnsi="Times New Roman"/>
                <w:sz w:val="14"/>
                <w:szCs w:val="14"/>
                <w:color w:val="auto"/>
              </w:rPr>
              <w:t>RSU</w:t>
            </w:r>
            <w:r>
              <w:rPr>
                <w:rFonts w:ascii="Times New Roman" w:cs="Times New Roman" w:eastAsia="Times New Roman" w:hAnsi="Times New Roman"/>
                <w:sz w:val="23"/>
                <w:szCs w:val="23"/>
                <w:color w:val="auto"/>
                <w:vertAlign w:val="superscript"/>
              </w:rPr>
              <w:t>(3)</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100,000</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84,730</w:t>
            </w: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110,000</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93,203</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4"/>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Keyvan Samini</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8/26/2020</w:t>
            </w:r>
          </w:p>
        </w:tc>
        <w:tc>
          <w:tcPr>
            <w:tcW w:w="1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20,588</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1.70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8/11/2030</w:t>
            </w:r>
          </w:p>
        </w:tc>
        <w:tc>
          <w:tcPr>
            <w:tcW w:w="1320" w:type="dxa"/>
            <w:vAlign w:val="bottom"/>
            <w:gridSpan w:val="2"/>
            <w:shd w:val="clear" w:color="auto" w:fill="CCEEFF"/>
          </w:tcPr>
          <w:p>
            <w:pPr>
              <w:jc w:val="right"/>
              <w:ind w:right="200"/>
              <w:spacing w:after="0" w:line="204" w:lineRule="exact"/>
              <w:rPr>
                <w:sz w:val="20"/>
                <w:szCs w:val="20"/>
                <w:color w:val="auto"/>
              </w:rPr>
            </w:pPr>
            <w:r>
              <w:rPr>
                <w:rFonts w:ascii="Times New Roman" w:cs="Times New Roman" w:eastAsia="Times New Roman" w:hAnsi="Times New Roman"/>
                <w:sz w:val="14"/>
                <w:szCs w:val="14"/>
                <w:color w:val="auto"/>
              </w:rPr>
              <w:t>Option</w:t>
            </w:r>
            <w:r>
              <w:rPr>
                <w:rFonts w:ascii="Times New Roman" w:cs="Times New Roman" w:eastAsia="Times New Roman" w:hAnsi="Times New Roman"/>
                <w:sz w:val="23"/>
                <w:szCs w:val="23"/>
                <w:color w:val="auto"/>
                <w:vertAlign w:val="superscript"/>
              </w:rPr>
              <w:t>(4)</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8/26/2020</w:t>
            </w:r>
          </w:p>
        </w:tc>
        <w:tc>
          <w:tcPr>
            <w:tcW w:w="13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11,764</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1.70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8/11/2030</w:t>
            </w:r>
          </w:p>
        </w:tc>
        <w:tc>
          <w:tcPr>
            <w:tcW w:w="1320" w:type="dxa"/>
            <w:vAlign w:val="bottom"/>
            <w:gridSpan w:val="2"/>
            <w:shd w:val="clear" w:color="auto" w:fill="CCEEFF"/>
          </w:tcPr>
          <w:p>
            <w:pPr>
              <w:jc w:val="right"/>
              <w:ind w:right="200"/>
              <w:spacing w:after="0" w:line="204" w:lineRule="exact"/>
              <w:rPr>
                <w:sz w:val="20"/>
                <w:szCs w:val="20"/>
                <w:color w:val="auto"/>
              </w:rPr>
            </w:pPr>
            <w:r>
              <w:rPr>
                <w:rFonts w:ascii="Times New Roman" w:cs="Times New Roman" w:eastAsia="Times New Roman" w:hAnsi="Times New Roman"/>
                <w:sz w:val="14"/>
                <w:szCs w:val="14"/>
                <w:color w:val="auto"/>
              </w:rPr>
              <w:t>Option</w:t>
            </w:r>
            <w:r>
              <w:rPr>
                <w:rFonts w:ascii="Times New Roman" w:cs="Times New Roman" w:eastAsia="Times New Roman" w:hAnsi="Times New Roman"/>
                <w:sz w:val="23"/>
                <w:szCs w:val="23"/>
                <w:color w:val="auto"/>
                <w:vertAlign w:val="superscript"/>
              </w:rPr>
              <w:t>(5)</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5/5/2025</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200"/>
              <w:spacing w:after="0" w:line="204" w:lineRule="exact"/>
              <w:rPr>
                <w:sz w:val="20"/>
                <w:szCs w:val="20"/>
                <w:color w:val="auto"/>
              </w:rPr>
            </w:pPr>
            <w:r>
              <w:rPr>
                <w:rFonts w:ascii="Times New Roman" w:cs="Times New Roman" w:eastAsia="Times New Roman" w:hAnsi="Times New Roman"/>
                <w:sz w:val="23"/>
                <w:szCs w:val="23"/>
                <w:color w:val="auto"/>
                <w:vertAlign w:val="subscript"/>
              </w:rPr>
              <w:t>RSA</w:t>
            </w:r>
            <w:r>
              <w:rPr>
                <w:rFonts w:ascii="Times New Roman" w:cs="Times New Roman" w:eastAsia="Times New Roman" w:hAnsi="Times New Roman"/>
                <w:sz w:val="11"/>
                <w:szCs w:val="11"/>
                <w:color w:val="auto"/>
              </w:rPr>
              <w:t>(6)</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63,750</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54,015</w:t>
            </w: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1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32,352</w:t>
            </w: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63,750</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54,015</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r>
    </w:tbl>
    <w:p>
      <w:pPr>
        <w:spacing w:after="0" w:line="144" w:lineRule="exact"/>
        <w:rPr>
          <w:sz w:val="20"/>
          <w:szCs w:val="20"/>
          <w:color w:val="auto"/>
        </w:rPr>
      </w:pPr>
    </w:p>
    <w:p>
      <w:pPr>
        <w:ind w:left="520" w:hanging="256"/>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awards set forth in the table above are exercisable for or settled in shares of Class A Common Stock.</w:t>
      </w:r>
    </w:p>
    <w:p>
      <w:pPr>
        <w:spacing w:after="0" w:line="25" w:lineRule="exact"/>
        <w:rPr>
          <w:sz w:val="20"/>
          <w:szCs w:val="20"/>
          <w:color w:val="auto"/>
        </w:rPr>
      </w:pPr>
    </w:p>
    <w:p>
      <w:pPr>
        <w:ind w:left="520" w:hanging="256"/>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the awards that have not vested is based on the closing price of the Class A Common Stock on Nasdaq on September 30, 2026, which was $0.8473.</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restricted stock units were granted under the Company’s 2023 Equity Incentive Plan and 10,000 restricted stock units vested on October 1, 2026 .</w:t>
      </w:r>
    </w:p>
    <w:p>
      <w:pPr>
        <w:spacing w:after="0" w:line="11" w:lineRule="exact"/>
        <w:rPr>
          <w:rFonts w:ascii="Times New Roman" w:cs="Times New Roman" w:eastAsia="Times New Roman" w:hAnsi="Times New Roman"/>
          <w:sz w:val="14"/>
          <w:szCs w:val="14"/>
          <w:color w:val="auto"/>
        </w:rPr>
      </w:pPr>
    </w:p>
    <w:p>
      <w:pPr>
        <w:ind w:left="520" w:hanging="256"/>
        <w:spacing w:after="0" w:line="256"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restricted stock units were granted under the Company’s 2023 Equity Incentive Plan and vest in equal installments on (i) January 1, 2027, (ii) April 1, 2027, (iii) July 1, 2027, and (iv) October 1, 2027.</w:t>
      </w:r>
    </w:p>
    <w:p>
      <w:pPr>
        <w:ind w:left="520" w:hanging="256"/>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options were granted under the Company’s 2020 Key Employee Equity Incentive Plan and are fully vested and exercisable.</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options were granted under the Company’s 2020 Equity Incentive Plan and are fully vested and exercisable.</w:t>
      </w:r>
    </w:p>
    <w:p>
      <w:pPr>
        <w:spacing w:after="0" w:line="11" w:lineRule="exact"/>
        <w:rPr>
          <w:rFonts w:ascii="Times New Roman" w:cs="Times New Roman" w:eastAsia="Times New Roman" w:hAnsi="Times New Roman"/>
          <w:sz w:val="14"/>
          <w:szCs w:val="14"/>
          <w:color w:val="auto"/>
        </w:rPr>
      </w:pPr>
    </w:p>
    <w:p>
      <w:pPr>
        <w:ind w:left="520" w:hanging="256"/>
        <w:spacing w:after="0" w:line="273" w:lineRule="auto"/>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restricted stock awards were granted subject to stockholder approval, which was obtained on January 3, 2025, and vest in such percentages and upon such terms as follows: 25% will vest on the earlier of (a) the Company’s Class A Common Stock closing at or above $40.00 for 10 consecutive trading days on Nasdaq or (b) November 1, 2026.</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In 2021, we entered into agreements with our non-employee directors, including co-founder James Peterson, co-founder Frederick Goerner, David Aldrich, Kurt Busch, and William Carpou. Under these agreements, we agreed to issue to each director an option to purchase 2,000 shares of Class A Common Stock. The options are fully vested. We also agreed to reimburse the director for any reasonable costs and expenses incurred in connection with the director’s services requested by us and performed by the director. Each agreement will automatically renew on the date of director’s reelection unless the Board determines not to renew the agreement, or until a director’s earlier resignation, removal or death.</w:t>
      </w:r>
    </w:p>
    <w:p>
      <w:pPr>
        <w:spacing w:after="0" w:line="142"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In connection with the Closing, we amended the Board agreement with each of the co-founders Mr. Peterson and Mr. Goerner. The amendment provides that the director will be granted, on the first, second and third anniversaries of December 21, 2023, Post-Closing RSUs with respect to 16,666 shares of Class A Common Stock, which will vest on the first anniversary of the applicable grant date, subject to his continuous service to Mobix Labs through the applicable grant dates and vesting dates. The Post-Closing RSUs will become fully vested in the event of a change of control, or if the director’s service is terminated either without cause or by him for Good Reason (as defined in the Company’s 2022 Equity Incentive Plan).</w:t>
      </w:r>
    </w:p>
    <w:p>
      <w:pPr>
        <w:spacing w:after="0" w:line="142"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4"/>
          <w:szCs w:val="14"/>
          <w:color w:val="auto"/>
        </w:rPr>
        <w:t>On January 22, 2024, the Board approved non-employee director compensation that is designed to retain competent and experienced persons to serve as members of the Board. Non-employee directors will be entitled to receive an annual cash retainer, which will be payable quarterly and pro-rated for partial quarters, of $200,000 and reimbursement for expenses incurred for attending Board meetings. Non-employee Board members will also be entitled to receive awards under the 2023 Equity Incentive Plan annually and upon their initial appointment to the Board as follows:</w:t>
      </w:r>
    </w:p>
    <w:p>
      <w:pPr>
        <w:spacing w:after="0" w:line="313" w:lineRule="exact"/>
        <w:rPr>
          <w:sz w:val="20"/>
          <w:szCs w:val="20"/>
          <w:color w:val="auto"/>
        </w:rPr>
      </w:pPr>
    </w:p>
    <w:p>
      <w:pPr>
        <w:ind w:left="1040" w:hanging="517"/>
        <w:spacing w:after="0"/>
        <w:tabs>
          <w:tab w:leader="none" w:pos="10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awards of 2,000 RSUs at the next Board meeting occurring after December 21, 2024; and</w:t>
      </w:r>
    </w:p>
    <w:p>
      <w:pPr>
        <w:spacing w:after="0" w:line="24"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initial election or appointment to the Board, a pro-rated amount of 2,000 RSUs for the partial year.</w:t>
      </w:r>
    </w:p>
    <w:p>
      <w:pPr>
        <w:spacing w:after="0" w:line="170" w:lineRule="exact"/>
        <w:rPr>
          <w:sz w:val="20"/>
          <w:szCs w:val="20"/>
          <w:color w:val="auto"/>
        </w:rPr>
      </w:pPr>
    </w:p>
    <w:p>
      <w:pPr>
        <w:ind w:firstLine="517"/>
        <w:spacing w:after="0" w:line="293" w:lineRule="auto"/>
        <w:rPr>
          <w:sz w:val="20"/>
          <w:szCs w:val="20"/>
          <w:color w:val="auto"/>
        </w:rPr>
      </w:pPr>
      <w:r>
        <w:rPr>
          <w:rFonts w:ascii="Times New Roman" w:cs="Times New Roman" w:eastAsia="Times New Roman" w:hAnsi="Times New Roman"/>
          <w:sz w:val="14"/>
          <w:szCs w:val="14"/>
          <w:color w:val="auto"/>
        </w:rPr>
        <w:t>In addition, the Board approved, and on January 3, 2025 the stockholders approved, the grant of RSUs to the following non-employee directors who were influential in the public listing of our shares on Nasdaq:</w:t>
      </w:r>
    </w:p>
    <w:p>
      <w:pPr>
        <w:spacing w:after="0" w:line="123" w:lineRule="exact"/>
        <w:rPr>
          <w:sz w:val="20"/>
          <w:szCs w:val="20"/>
          <w:color w:val="auto"/>
        </w:rPr>
      </w:pPr>
    </w:p>
    <w:p>
      <w:pPr>
        <w:ind w:left="1040" w:hanging="517"/>
        <w:spacing w:after="0"/>
        <w:tabs>
          <w:tab w:leader="none" w:pos="10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James Peterson, Co-Founder 105,000 RSUs</w:t>
      </w:r>
    </w:p>
    <w:p>
      <w:pPr>
        <w:spacing w:after="0" w:line="24"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Frederick Goerner, Co-Founder 105,000 RSUs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David Aldrich 5,000 RSUs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Kurt Busch 5,000 RSUs</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William Carpou 5,000 RSUs</w:t>
      </w:r>
    </w:p>
    <w:p>
      <w:pPr>
        <w:spacing w:after="0" w:line="170" w:lineRule="exact"/>
        <w:rPr>
          <w:sz w:val="20"/>
          <w:szCs w:val="20"/>
          <w:color w:val="auto"/>
        </w:rPr>
      </w:pPr>
    </w:p>
    <w:p>
      <w:pPr>
        <w:ind w:right="120" w:firstLine="552"/>
        <w:spacing w:after="0" w:line="293" w:lineRule="auto"/>
        <w:rPr>
          <w:sz w:val="20"/>
          <w:szCs w:val="20"/>
          <w:color w:val="auto"/>
        </w:rPr>
      </w:pPr>
      <w:r>
        <w:rPr>
          <w:rFonts w:ascii="Times New Roman" w:cs="Times New Roman" w:eastAsia="Times New Roman" w:hAnsi="Times New Roman"/>
          <w:sz w:val="14"/>
          <w:szCs w:val="14"/>
          <w:color w:val="auto"/>
        </w:rPr>
        <w:t>On June 28, 2025, the Compensation Committee approved and recommended to the Board, and the Board approved and adopted, a revised compensation program for our non-employee directors, effective as of July 1, 2025. Under this program, each non-employee director is entitled to receive:</w:t>
      </w:r>
    </w:p>
    <w:p>
      <w:pPr>
        <w:spacing w:after="0" w:line="123" w:lineRule="exact"/>
        <w:rPr>
          <w:sz w:val="20"/>
          <w:szCs w:val="20"/>
          <w:color w:val="auto"/>
        </w:rPr>
      </w:pPr>
    </w:p>
    <w:p>
      <w:pPr>
        <w:ind w:left="1040" w:hanging="517"/>
        <w:spacing w:after="0"/>
        <w:tabs>
          <w:tab w:leader="none" w:pos="10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quarterly cash retainer of $12,500, payable on the tenth business day of each calendar quarter, or as otherwise determined by the Board;</w:t>
      </w:r>
    </w:p>
    <w:p>
      <w:pPr>
        <w:spacing w:after="0" w:line="24" w:lineRule="exact"/>
        <w:rPr>
          <w:rFonts w:ascii="Times New Roman" w:cs="Times New Roman" w:eastAsia="Times New Roman" w:hAnsi="Times New Roman"/>
          <w:sz w:val="14"/>
          <w:szCs w:val="14"/>
          <w:color w:val="auto"/>
        </w:rPr>
      </w:pPr>
    </w:p>
    <w:p>
      <w:pPr>
        <w:jc w:val="both"/>
        <w:ind w:left="1040" w:hanging="517"/>
        <w:spacing w:after="0" w:line="256" w:lineRule="auto"/>
        <w:tabs>
          <w:tab w:leader="none" w:pos="10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quarterly grant of restricted stock units having a value of $37,500, granted on the tenth business day of each calendar quarter, with the number of restricted stock units determined based on the volume weighted average price of our Class A Common Stock over the five trading days prior to the grant date. Each quarterly grant vests in full on the first day of the following calendar quarter and is subject to a separate restricted stock unit agreement between us and the director; and</w:t>
      </w:r>
    </w:p>
    <w:p>
      <w:pPr>
        <w:spacing w:after="0" w:line="1" w:lineRule="exact"/>
        <w:rPr>
          <w:rFonts w:ascii="Times New Roman" w:cs="Times New Roman" w:eastAsia="Times New Roman" w:hAnsi="Times New Roman"/>
          <w:sz w:val="14"/>
          <w:szCs w:val="14"/>
          <w:color w:val="auto"/>
        </w:rPr>
      </w:pPr>
    </w:p>
    <w:p>
      <w:pPr>
        <w:ind w:left="1040" w:hanging="517"/>
        <w:spacing w:after="0" w:line="273" w:lineRule="auto"/>
        <w:tabs>
          <w:tab w:leader="none" w:pos="10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annual equity grant of 50,000 shares of our Class A Common Stock, to be granted on the tenth business day of January of each calendar year, or as otherwise determined by the Board.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0"/>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Compensation Table for Fiscal Year 2026</w:t>
            </w:r>
          </w:p>
        </w:tc>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4"/>
        </w:trPr>
        <w:tc>
          <w:tcPr>
            <w:tcW w:w="7020" w:type="dxa"/>
            <w:vAlign w:val="bottom"/>
            <w:gridSpan w:val="4"/>
          </w:tcPr>
          <w:p>
            <w:pPr>
              <w:ind w:left="520"/>
              <w:spacing w:after="0"/>
              <w:rPr>
                <w:sz w:val="20"/>
                <w:szCs w:val="20"/>
                <w:color w:val="auto"/>
              </w:rPr>
            </w:pPr>
            <w:r>
              <w:rPr>
                <w:rFonts w:ascii="Times New Roman" w:cs="Times New Roman" w:eastAsia="Times New Roman" w:hAnsi="Times New Roman"/>
                <w:sz w:val="14"/>
                <w:szCs w:val="14"/>
                <w:color w:val="auto"/>
              </w:rPr>
              <w:t>The table below sets forth the non-employee director compensation for the year ended September 30, 2026.</w:t>
            </w: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9"/>
        </w:trPr>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24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4"/>
        </w:trPr>
        <w:tc>
          <w:tcPr>
            <w:tcW w:w="4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or Paid in</w:t>
            </w:r>
          </w:p>
        </w:tc>
        <w:tc>
          <w:tcPr>
            <w:tcW w:w="224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02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9"/>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4"/>
                <w:szCs w:val="14"/>
                <w:b w:val="1"/>
                <w:bCs w:val="1"/>
                <w:color w:val="auto"/>
                <w:w w:val="96"/>
              </w:rPr>
              <w:t>Cash ($)</w:t>
            </w:r>
            <w:r>
              <w:rPr>
                <w:rFonts w:ascii="Times New Roman" w:cs="Times New Roman" w:eastAsia="Times New Roman" w:hAnsi="Times New Roman"/>
                <w:sz w:val="23"/>
                <w:szCs w:val="23"/>
                <w:b w:val="1"/>
                <w:bCs w:val="1"/>
                <w:color w:val="auto"/>
                <w:w w:val="96"/>
                <w:vertAlign w:val="superscript"/>
              </w:rPr>
              <w:t>(1)</w:t>
            </w:r>
          </w:p>
        </w:tc>
        <w:tc>
          <w:tcPr>
            <w:tcW w:w="34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ind w:right="670"/>
              <w:spacing w:after="0" w:line="220"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1"/>
                <w:szCs w:val="11"/>
                <w:b w:val="1"/>
                <w:bCs w:val="1"/>
                <w:color w:val="auto"/>
              </w:rPr>
              <w:t>(2)(4)</w:t>
            </w:r>
          </w:p>
        </w:tc>
        <w:tc>
          <w:tcPr>
            <w:tcW w:w="32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ind w:right="728"/>
              <w:spacing w:after="0" w:line="22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(5)</w:t>
            </w:r>
          </w:p>
        </w:tc>
        <w:tc>
          <w:tcPr>
            <w:tcW w:w="100" w:type="dxa"/>
            <w:vAlign w:val="bottom"/>
            <w:tcBorders>
              <w:bottom w:val="single" w:sz="8" w:color="CCEEFF"/>
            </w:tcBorders>
          </w:tcPr>
          <w:p>
            <w:pPr>
              <w:spacing w:after="0"/>
              <w:rPr>
                <w:sz w:val="19"/>
                <w:szCs w:val="19"/>
                <w:color w:val="auto"/>
              </w:rPr>
            </w:pPr>
          </w:p>
        </w:tc>
      </w:tr>
      <w:tr>
        <w:trPr>
          <w:trHeight w:val="195"/>
        </w:trPr>
        <w:tc>
          <w:tcPr>
            <w:tcW w:w="4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James Peterson, Co-Founder</w:t>
            </w:r>
            <w:r>
              <w:rPr>
                <w:rFonts w:ascii="Times New Roman" w:cs="Times New Roman" w:eastAsia="Times New Roman" w:hAnsi="Times New Roman"/>
                <w:sz w:val="22"/>
                <w:szCs w:val="22"/>
                <w:color w:val="auto"/>
                <w:vertAlign w:val="superscript"/>
              </w:rPr>
              <w:t>(3)</w:t>
            </w:r>
          </w:p>
        </w:tc>
        <w:tc>
          <w:tcPr>
            <w:tcW w:w="24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25,000</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166,271</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191,271</w:t>
            </w:r>
          </w:p>
        </w:tc>
      </w:tr>
      <w:tr>
        <w:trPr>
          <w:trHeight w:val="172"/>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Frederick Goerner, Co-Founder</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37,500</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66,271</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203,771</w:t>
            </w:r>
          </w:p>
        </w:tc>
      </w:tr>
      <w:tr>
        <w:trPr>
          <w:trHeight w:val="172"/>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Aldrich</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37,500</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166,271</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203,771</w:t>
            </w:r>
          </w:p>
        </w:tc>
      </w:tr>
      <w:tr>
        <w:trPr>
          <w:trHeight w:val="172"/>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Kurt Busch</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37,500</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166,271</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203,771</w:t>
            </w:r>
          </w:p>
        </w:tc>
      </w:tr>
      <w:tr>
        <w:trPr>
          <w:trHeight w:val="172"/>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Carpou</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37,500</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166,271</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203,771</w:t>
            </w:r>
          </w:p>
        </w:tc>
      </w:tr>
      <w:tr>
        <w:trPr>
          <w:trHeight w:val="186"/>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Long</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37,500</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166,271</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203,771</w:t>
            </w:r>
          </w:p>
        </w:tc>
      </w:tr>
    </w:tbl>
    <w:p>
      <w:pPr>
        <w:spacing w:after="0" w:line="144" w:lineRule="exact"/>
        <w:rPr>
          <w:sz w:val="20"/>
          <w:szCs w:val="20"/>
          <w:color w:val="auto"/>
        </w:rPr>
      </w:pPr>
    </w:p>
    <w:p>
      <w:pPr>
        <w:ind w:left="520" w:hanging="256"/>
        <w:spacing w:after="0" w:line="266"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non-employee directors received a portion of their fees in Class A Common Stock in lieu of cash. The amount each of our non-employee directors would have otherwise received in cash was $12,500.</w:t>
      </w:r>
    </w:p>
    <w:p>
      <w:pPr>
        <w:spacing w:after="0" w:line="1" w:lineRule="exact"/>
        <w:rPr>
          <w:rFonts w:ascii="Times New Roman" w:cs="Times New Roman" w:eastAsia="Times New Roman" w:hAnsi="Times New Roman"/>
          <w:sz w:val="14"/>
          <w:szCs w:val="14"/>
          <w:color w:val="auto"/>
        </w:rPr>
      </w:pPr>
    </w:p>
    <w:p>
      <w:pPr>
        <w:jc w:val="both"/>
        <w:ind w:left="520" w:hanging="256"/>
        <w:spacing w:after="0" w:line="225"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in this column for co-founders Messrs. Peterson and Goerner represents the aggregate grant date fair value of the stock awards in accordance with ASC Topic 718. The grant date fair value of the restricted stock awards is based on the volume weighted average price of our Class A Common Stock over the five trading days prior to the grant date, with the grant date being the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business day of each calendar quarter.</w:t>
      </w:r>
    </w:p>
    <w:p>
      <w:pPr>
        <w:spacing w:after="0" w:line="1" w:lineRule="exact"/>
        <w:rPr>
          <w:rFonts w:ascii="Times New Roman" w:cs="Times New Roman" w:eastAsia="Times New Roman" w:hAnsi="Times New Roman"/>
          <w:sz w:val="14"/>
          <w:szCs w:val="14"/>
          <w:color w:val="auto"/>
        </w:rPr>
      </w:pPr>
    </w:p>
    <w:p>
      <w:pPr>
        <w:ind w:left="520" w:hanging="256"/>
        <w:spacing w:after="0" w:line="254"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Peterson’s fiscal 2026 cash fees are lower than those of our other non-employee directors because his $12,500 cash retainer for the first quarter of fiscal 2026 was paid in advance, during the fourth quarter of fiscal 2025.</w:t>
      </w:r>
    </w:p>
    <w:p>
      <w:pPr>
        <w:spacing w:after="0" w:line="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sets forth the aggregate number of restricted stock units outstanding, as of September 30, 2026, for each of our non-employee directors.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Unexercised</w:t>
            </w:r>
          </w:p>
        </w:tc>
      </w:tr>
      <w:tr>
        <w:trPr>
          <w:trHeight w:val="172"/>
        </w:trPr>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Stock Options</w:t>
            </w:r>
          </w:p>
        </w:tc>
      </w:tr>
      <w:tr>
        <w:trPr>
          <w:trHeight w:val="188"/>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r>
      <w:tr>
        <w:trPr>
          <w:trHeight w:val="164"/>
        </w:trPr>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Peterson, Co-Founder</w:t>
            </w:r>
          </w:p>
        </w:tc>
        <w:tc>
          <w:tcPr>
            <w:tcW w:w="22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19,101</w:t>
            </w:r>
          </w:p>
        </w:tc>
        <w:tc>
          <w:tcPr>
            <w:tcW w:w="34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15,341</w:t>
            </w:r>
          </w:p>
        </w:tc>
        <w:tc>
          <w:tcPr>
            <w:tcW w:w="100" w:type="dxa"/>
            <w:vAlign w:val="bottom"/>
            <w:tcBorders>
              <w:top w:val="single" w:sz="8" w:color="CCEEFF"/>
            </w:tcBorders>
            <w:shd w:val="clear" w:color="auto" w:fill="CCEEFF"/>
          </w:tcPr>
          <w:p>
            <w:pPr>
              <w:spacing w:after="0"/>
              <w:rPr>
                <w:sz w:val="14"/>
                <w:szCs w:val="14"/>
                <w:color w:val="auto"/>
              </w:rPr>
            </w:pPr>
          </w:p>
        </w:tc>
      </w:tr>
      <w:tr>
        <w:trPr>
          <w:trHeight w:val="172"/>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Frederick Goerner, Co-Founder</w:t>
            </w:r>
          </w:p>
        </w:tc>
        <w:tc>
          <w:tcPr>
            <w:tcW w:w="142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19,101</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15,341</w:t>
            </w:r>
          </w:p>
        </w:tc>
      </w:tr>
      <w:tr>
        <w:trPr>
          <w:trHeight w:val="172"/>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Aldrich</w:t>
            </w:r>
          </w:p>
        </w:tc>
        <w:tc>
          <w:tcPr>
            <w:tcW w:w="14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19,101</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15,341</w:t>
            </w:r>
          </w:p>
        </w:tc>
      </w:tr>
      <w:tr>
        <w:trPr>
          <w:trHeight w:val="172"/>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Kurt Busch</w:t>
            </w:r>
          </w:p>
        </w:tc>
        <w:tc>
          <w:tcPr>
            <w:tcW w:w="142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19,101</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15,341</w:t>
            </w:r>
          </w:p>
        </w:tc>
      </w:tr>
      <w:tr>
        <w:trPr>
          <w:trHeight w:val="172"/>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Carpou</w:t>
            </w:r>
          </w:p>
        </w:tc>
        <w:tc>
          <w:tcPr>
            <w:tcW w:w="14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19,101</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Long</w:t>
            </w:r>
          </w:p>
        </w:tc>
        <w:tc>
          <w:tcPr>
            <w:tcW w:w="14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19,101</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(5) Amounts reported herein may not foot due to rounding.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Policies and Practices Related to the Grant of Certain Equity Awards Close in Time to the Release of Material Nonpublic Information</w:t>
      </w:r>
    </w:p>
    <w:p>
      <w:pPr>
        <w:spacing w:after="0" w:line="32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In response to Item 402(x)(1) of Regulation S-K, we do not grant new awards of stock options, stock appreciation rights, or similar option-like instruments within four business days before or one business day after the release of a Form 10-Q, 10-K, or 8-K that discloses material nonpublic information. Accordingly, we have no specific policy or practice on the timing of awards of such options in relation to the disclosure of material nonpublic information by us. In the event that we determine to grant new awards of such options, the Board will evaluate the appropriate steps to take in relation to the foregoing.</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85"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4"/>
          <w:szCs w:val="14"/>
          <w:color w:val="auto"/>
        </w:rPr>
        <w:t>The following summary of the material terms of our securities is not intended to be a complete summary of the rights and preferences of such securities. The full text of our Charter and amendment to the Charter, which together are referred to as the Charter, and Bylaws is included as Exhibit 3.1, Exhibit 3.2, and Exhibit 3.3 respectively, to the registration statement of which this prospectus forms a part and is incorporated herein by reference. We urge you to read our Charter and Bylaws in their entirety for a complete description of the rights and preferences of our securities.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and Outstanding Stock</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Our Charter authorizes three hundred million (300,000,000) shares, consisting of three (3) classes: (i) two-hundred and eighty-five million (285,000,000) shares of Class A Common Stock, $0.00001 par value per share, (ii) five million (5,000,000) shares of Class B Common Stock, $0.00001 par value per share, and (iii) ten million (10,000,000) shares of Preferred Stock, $0.00001 par value per share.</w:t>
      </w:r>
    </w:p>
    <w:p>
      <w:pPr>
        <w:spacing w:after="0" w:line="13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As of October 14, 2026, there were 23,576,570 shares of Class A Common Stock outstanding and no shares of Class B Common Stock outstanding. As of the date of this prospectus, there were 241 shares of Series A Preferred Stock outstanding. All of the shares of Class B Common Stock were converted into Class A Common Stock in August 2026, and no additional shares of Class B Common Stock can be issued under our Charter.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Power</w:t>
      </w:r>
    </w:p>
    <w:p>
      <w:pPr>
        <w:spacing w:after="0" w:line="187"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Holders of Class A Common Stock vote as a single class on all matters submitted to a vote of the stockholders except as otherwise required by applicable law or the rules or regulations of any stock exchange applicable to Mobix Labs or by or pursuant to the Charter. Holders of Class A Common Stock are entitled to one (1) vote for each share of Class A Common Stock held of record by such holder on all matters to be voted on by stockholders except as otherwise required by applicable law or the rules or regulations of any stock exchange applicable to Mobix Labs or by or pursuant to the Charter.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and Distribution Rights</w:t>
      </w:r>
    </w:p>
    <w:p>
      <w:pPr>
        <w:spacing w:after="0" w:line="18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Subject to applicable law and the rights, if any, of any holders of any outstanding series of Preferred Stock, holders of Common Stock are entitled to receive dividends or distributions when, as and if declared by the Board in its discretion, payable either in cash, in property or in shares of capital stock. Generally, the holders of Common Stock share in such dividends or distributions ratably in proportion to the number of shares held by them; except that if a dividend or distribution is proposed to be declared and paid or set apart for payment to the holders of Class A Common Stock in shares of Class A Common Stock or rights to acquire shares of Class A Common Stock, a dividend or distribution of an equal number of shares of Class A Common Stock or rights to acquire shares of Class A Common Stock shall be declared and paid or set apart for payment to the holders of Class A Common Stock,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 Dissolution and Winding Up</w:t>
      </w:r>
    </w:p>
    <w:p>
      <w:pPr>
        <w:spacing w:after="0" w:line="187" w:lineRule="exact"/>
        <w:rPr>
          <w:sz w:val="20"/>
          <w:szCs w:val="20"/>
          <w:color w:val="auto"/>
        </w:rPr>
      </w:pPr>
    </w:p>
    <w:p>
      <w:pPr>
        <w:jc w:val="both"/>
        <w:ind w:firstLine="517"/>
        <w:spacing w:after="0" w:line="286" w:lineRule="auto"/>
        <w:rPr>
          <w:sz w:val="20"/>
          <w:szCs w:val="20"/>
          <w:color w:val="auto"/>
        </w:rPr>
      </w:pPr>
      <w:r>
        <w:rPr>
          <w:rFonts w:ascii="Times New Roman" w:cs="Times New Roman" w:eastAsia="Times New Roman" w:hAnsi="Times New Roman"/>
          <w:sz w:val="14"/>
          <w:szCs w:val="14"/>
          <w:color w:val="auto"/>
        </w:rPr>
        <w:t>Subject to applicable law and the rights, if any, of any holders of any outstanding series of Preferred Stock, in the event of any liquidation, dissolution or winding up, the holders of outstanding shares of Common Stock are entitled to receive pro rata Mobix Labs’ remaining assets available for distribution, ratably in proportion to the number of shares of Common Stock held by them.</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i w:val="1"/>
          <w:iCs w:val="1"/>
          <w:color w:val="auto"/>
        </w:rPr>
        <w:t>Preemptive or Other Rights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Holders of Class A Common Stock will not be entitled to preemptive rights, and Class A Common Stock is not subject to redemption or sinking fund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Election of Directors</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Charter and the Bylaws provide, except for those directors, if any, elected by the holders of any series of Preferred Stock then outstanding pursuant to the Charter, establish a classified board of directors that is divided into three (3) classes designated as Class I, Class II and Class III, as nearly equal in number as possible, with staggered three-year terms. Only the directors in one class are elected at each annual meeting of Mobix Labs’ stockholders, with the directors in the other classes continuing for the remainder of their respective three-year terms.</w:t>
      </w:r>
    </w:p>
    <w:p>
      <w:pPr>
        <w:spacing w:after="0" w:line="135"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Mobix Labs’ stockholders will not have the ability to cumulate votes for the election of directors. The Bylaws provide that, other than with respect to Class B Directors or the directors elected by any series of Preferred Stock then outstanding pursuant to the Charter, at all meetings of stockholders held for the election of directors at which a quorum is present, a majority of the votes cast will be sufficient to elect directors; provided, however, that where one or more stockholders have (a) nominated one or more individuals to the Board in compliance with the Bylaws, and</w:t>
      </w:r>
    </w:p>
    <w:p>
      <w:pPr>
        <w:spacing w:after="0" w:line="1"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4"/>
          <w:szCs w:val="14"/>
          <w:color w:val="auto"/>
        </w:rPr>
        <w:t>such nominees for election exceeds the number of open seats, and (b) not withdrawn such nomination on or prior to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day preceding the date on which Mobix Labs first gives notice to stockholders of such meeting of stockholders for the election of directors, a plurality of the votes cast will be sufficient to elect.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85"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The Charter expressly authorizes the Board to provide for one or more series of Preferred Stock and pursuant to which the Board is authorized to establish the number of shares to be included in each such series, to fix the designation, powers (including voting powers), preferences and relative, participating, optional or other rights (and the qualifications, limitations or restrictions thereof) of the shares of each such series, in each case without further vote or action by the stockholders. The Charter provides that the number of authorized shares of Preferred Stock may be increased or decreased (but not below the number of shares thereof then outstanding) by the affirmative vote of the holders of a majority of the voting power of the then outstanding shares of capital stock entitled to vote, without the separate vote of the holders of outstanding shares of Preferred Stock voting as a single class. The Charter provides that except as may otherwise be provided by applicable law or the rules or regulations of any stock exchange applicable to Mobix Labs or by or pursuant to the provisions of the Charter, no holder of any series of Preferred Stock is entitled to any voting powers. The Board is able to, without stockholder approval, create and issue series of Preferred Stock with voting and other rights that could adversely affect the voting power and other rights of the holders of the Common Stock and could have anti-takeover effects. The ability of the Board to issue Preferred Stock, while providing flexibility in connection with possible acquisitions and other corporate purposes, could, among other things, have the effect of delaying, deferring or preventing a change of control of Mobix Labs or the removal of existing management.</w:t>
      </w:r>
    </w:p>
    <w:p>
      <w:pPr>
        <w:spacing w:after="0" w:line="3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the date of this prospectus, there are 241 shares of Series A Preferred Stock outstanding.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10% Convertible Preferred Stock</w:t>
      </w:r>
    </w:p>
    <w:p>
      <w:pPr>
        <w:spacing w:after="0" w:line="187"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On May 19, 2026, we entered into the May 2026 Purchase Agreement, pursuant to which we agreed to sell to Kips (i) 2,000 Preferred Shares for aggregate gross proceeds of $2.4 million, and (ii) the May 2026 Preferred Warrant to purchase up to an additional 6,000 Preferred Shares at an exercise price of $1,000 per share. On August 28, 2026, we amended the May 2026 Registration Rights Agreement and the May 2026 Purchase Agreement to issue and sell to Kips an additional 1,000 shares of Series A Preferred Stock and the August 2026 Preferred Warrant to purchase 6,000 additional shares of Series A Preferred Stock. The COD provides that 20,000 shares have been designated as Preferred Shares, subject to increase as set forth in the COD.</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Stated Value</w:t>
      </w:r>
      <w:r>
        <w:rPr>
          <w:rFonts w:ascii="Times New Roman" w:cs="Times New Roman" w:eastAsia="Times New Roman" w:hAnsi="Times New Roman"/>
          <w:sz w:val="14"/>
          <w:szCs w:val="14"/>
          <w:color w:val="auto"/>
        </w:rPr>
        <w:t>. Each share of Series A Preferred Stock has a stated value of $1,200 per share (the “Stated Value”).</w:t>
      </w:r>
    </w:p>
    <w:p>
      <w:pPr>
        <w:spacing w:after="0" w:line="183"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Holders of Preferred Shares are entitled to receive cumulative dividends at the rate of 10% per annum of the Stated Value, payable quarterly and on each conversion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redemption date. Dividends are payable, at our option, in cash or in additional shares of Series A Preferred Stock (the “Dividend Shares”) at the rate of one share of Series A Preferred Stock per $1,000 of the dividend amount payable.</w:t>
      </w:r>
    </w:p>
    <w:p>
      <w:pPr>
        <w:spacing w:after="0" w:line="133" w:lineRule="exact"/>
        <w:rPr>
          <w:sz w:val="20"/>
          <w:szCs w:val="20"/>
          <w:color w:val="auto"/>
        </w:rPr>
      </w:pPr>
    </w:p>
    <w:p>
      <w:pPr>
        <w:jc w:val="both"/>
        <w:ind w:firstLine="517"/>
        <w:spacing w:after="0" w:line="269" w:lineRule="auto"/>
        <w:rPr>
          <w:sz w:val="20"/>
          <w:szCs w:val="20"/>
          <w:color w:val="auto"/>
        </w:rPr>
      </w:pPr>
      <w:r>
        <w:rPr>
          <w:rFonts w:ascii="Times New Roman" w:cs="Times New Roman" w:eastAsia="Times New Roman" w:hAnsi="Times New Roman"/>
          <w:sz w:val="14"/>
          <w:szCs w:val="14"/>
          <w:i w:val="1"/>
          <w:iCs w:val="1"/>
          <w:color w:val="auto"/>
        </w:rPr>
        <w:t>Conversion</w:t>
      </w:r>
      <w:r>
        <w:rPr>
          <w:rFonts w:ascii="Times New Roman" w:cs="Times New Roman" w:eastAsia="Times New Roman" w:hAnsi="Times New Roman"/>
          <w:sz w:val="14"/>
          <w:szCs w:val="14"/>
          <w:color w:val="auto"/>
        </w:rPr>
        <w:t>. Each Preferred Share is convertible at the option of the holder, subject to the beneficial ownership and Nasdaq stockholder approval limitations described below, into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number of shares of Class A Common Stock equal to the Stated Value (plus any accrued and unpaid dividends and other amounts due) divided by the applicable conversion price. The conversion price is equal to 82% of the lowest VWAP of the Class A Common Stock during the eight (8) trading days immediately prior to and including the applicable conversion date (the “Kips Conversion Price”), subject to adjustment as described below.</w:t>
      </w:r>
    </w:p>
    <w:p>
      <w:pPr>
        <w:spacing w:after="0" w:line="139" w:lineRule="exact"/>
        <w:rPr>
          <w:sz w:val="20"/>
          <w:szCs w:val="20"/>
          <w:color w:val="auto"/>
        </w:rPr>
      </w:pPr>
    </w:p>
    <w:p>
      <w:pPr>
        <w:jc w:val="both"/>
        <w:ind w:firstLine="517"/>
        <w:spacing w:after="0" w:line="296" w:lineRule="auto"/>
        <w:rPr>
          <w:sz w:val="20"/>
          <w:szCs w:val="20"/>
          <w:color w:val="auto"/>
        </w:rPr>
      </w:pPr>
      <w:r>
        <w:rPr>
          <w:rFonts w:ascii="Times New Roman" w:cs="Times New Roman" w:eastAsia="Times New Roman" w:hAnsi="Times New Roman"/>
          <w:sz w:val="14"/>
          <w:szCs w:val="14"/>
          <w:i w:val="1"/>
          <w:iCs w:val="1"/>
          <w:color w:val="auto"/>
        </w:rPr>
        <w:t>Anti-Dilution Adjustment</w:t>
      </w:r>
      <w:r>
        <w:rPr>
          <w:rFonts w:ascii="Times New Roman" w:cs="Times New Roman" w:eastAsia="Times New Roman" w:hAnsi="Times New Roman"/>
          <w:sz w:val="14"/>
          <w:szCs w:val="14"/>
          <w:color w:val="auto"/>
        </w:rPr>
        <w:t>. If we issue or sell any shares of Class A Common Stock or common stock equivalents at an effective price per share lower than the then-applicable Kips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Conversion Price (a “Dilutive Issuance”), the Kips Conversion Price will be reduced to equal such lower effective price per share, subject to customary exceptions.</w:t>
      </w:r>
    </w:p>
    <w:p>
      <w:pPr>
        <w:spacing w:after="0" w:line="119"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4"/>
          <w:szCs w:val="14"/>
          <w:i w:val="1"/>
          <w:iCs w:val="1"/>
          <w:color w:val="auto"/>
        </w:rPr>
        <w:t>Market Price Adjustment</w:t>
      </w:r>
      <w:r>
        <w:rPr>
          <w:rFonts w:ascii="Times New Roman" w:cs="Times New Roman" w:eastAsia="Times New Roman" w:hAnsi="Times New Roman"/>
          <w:sz w:val="14"/>
          <w:szCs w:val="14"/>
          <w:color w:val="auto"/>
        </w:rPr>
        <w:t>. If the lowest VWAP of the Class A Common Stock during the ten (10) trading days prior to the applicable conversion date (the “Market Price”) is less than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Kips Conversion Price, the aggregate Stated Value of the holder’s outstanding shares of Series A Preferred Stock will be automatically increased by an amount equal to the difference between the Kips Conversion Price and the Market Price, multiplied by the number of shares issued upon such conversion.</w:t>
      </w:r>
    </w:p>
    <w:p>
      <w:pPr>
        <w:spacing w:after="0" w:line="133"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4"/>
          <w:szCs w:val="14"/>
          <w:i w:val="1"/>
          <w:iCs w:val="1"/>
          <w:color w:val="auto"/>
        </w:rPr>
        <w:t>Beneficial Ownership Limitation</w:t>
      </w:r>
      <w:r>
        <w:rPr>
          <w:rFonts w:ascii="Times New Roman" w:cs="Times New Roman" w:eastAsia="Times New Roman" w:hAnsi="Times New Roman"/>
          <w:sz w:val="14"/>
          <w:szCs w:val="14"/>
          <w:color w:val="auto"/>
        </w:rPr>
        <w:t>. A holder of Preferred Shares will not have the right to convert any portion of the Preferred Shares, to the extent that, after giving effect to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conversion, the holder (together with its affiliates) would beneficially own in excess of 4.99% of shares of Class A Common Stock outstanding immediately after giving effect to such conversion. A holder may, upon 61 days’ prior notice to us, increase such limitation to a percentage not in excess of 9.99%.</w:t>
      </w:r>
    </w:p>
    <w:p>
      <w:pPr>
        <w:spacing w:after="0" w:line="133"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4"/>
          <w:szCs w:val="14"/>
          <w:i w:val="1"/>
          <w:iCs w:val="1"/>
          <w:color w:val="auto"/>
        </w:rPr>
        <w:t>Optional Redemption by the Company</w:t>
      </w:r>
      <w:r>
        <w:rPr>
          <w:rFonts w:ascii="Times New Roman" w:cs="Times New Roman" w:eastAsia="Times New Roman" w:hAnsi="Times New Roman"/>
          <w:sz w:val="14"/>
          <w:szCs w:val="14"/>
          <w:color w:val="auto"/>
        </w:rPr>
        <w:t>. Beginning thirty business days after the original issue date of the Series A Preferred Stock, we may, subject to the satisfaction of certain “equity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conditions” specified in the COD, redeem some or all of the then-outstanding Preferred Shares for cash at a redemption price equal to 110% of the aggregate Stated Value, plus accrued but unpaid dividends and other amounts due.</w:t>
      </w:r>
    </w:p>
    <w:p>
      <w:pPr>
        <w:spacing w:after="0" w:line="133"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i w:val="1"/>
          <w:iCs w:val="1"/>
          <w:color w:val="auto"/>
        </w:rPr>
        <w:t>Triggering Events; Holder Redemption Rights</w:t>
      </w:r>
      <w:r>
        <w:rPr>
          <w:rFonts w:ascii="Times New Roman" w:cs="Times New Roman" w:eastAsia="Times New Roman" w:hAnsi="Times New Roman"/>
          <w:sz w:val="14"/>
          <w:szCs w:val="14"/>
          <w:color w:val="auto"/>
        </w:rPr>
        <w:t>. The COD specifies certain “Triggering Events,” including, among other things, (i) failure to maintain an effective registration statement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covering the resale of the Class A Common Stock issuable upon conversion of the Preferred Shares, (ii) failure to timely deliver conversion shares, (iii) an Authorized Share Failure (as defined in the COD), (iv) a Bankruptcy Event (as defined in the COD), (v) delisting of the Class A Common Stock for more than five trading days, (vi) an unsatisfied monetary judgment against us in excess of $500,000 that remains unsatisfied for 60 calendar days, (vii) any cessation of operations by us, and (viii) certain other specified events. Upon the occurrence of a Triggering Event, each holder of Series A Preferred Stock may require us to redeem all of such holder’s Preferred Shares for cash at a “Triggering Redemption Amount” equal to the greater of (a) 120% of the aggregate Stated Value and (b) a market-based amount calculated by reference to the VWAP of the Class A Common Stock and the then-applicable Kips Conversion Price, in each case plus all accrued but unpaid dividends and any liquidated damages and other amounts due. In addition, upon the occurrence of a Triggering Event, we are obligated to pay liquidated damages of $250,000 in cash within five trading days, with interest accruing at a rate of 2% per month on any unpaid amount.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October 14, 2026 there were 6,000,000 Public Warrants and 3,000,000 Private Warrants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Public Warrants</w:t>
      </w:r>
    </w:p>
    <w:p>
      <w:pPr>
        <w:spacing w:after="0" w:line="18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Each whole Public Warrant and whole Private Warrant entitles the registered holder to purchase one-tenth (1/10) of a share of Class A Common Stock at a price of $57.90 per share, subject to adjustment as discussed below, at any time commencing January 20, 2024, provided that a registration statement under the Securities Act covering shares of Class A Common Stock issuable upon exercise of the Public Warrants is then effective and a current prospectus relating thereto is available (or holders are permitted to exercise their Public Warrants on a cashless basis under the circumstances specified in the Warrant Agreement) and such shares are registered, qualified or exempt from registration under the securities, or blue sky, laws of the state of residence of the holder. The Public Warrants will expire on December 21, 2028, at 5:00 p.m., New York City time, or earlier upon redemption or liquidation.</w:t>
      </w:r>
    </w:p>
    <w:p>
      <w:pPr>
        <w:spacing w:after="0" w:line="144"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We will not be obligated to deliver any shares of Class A Common Stock pursuant to the exercise of a Public Warrant and will have no obligation to settle such warrant exercise unless a registration statement under the Securities Act with respect to the shares of Class A Common Stock underlying the Public Warrants is then effective and a prospectus relating thereto is current, subject to us satisfying its obligations described below with respect to registration. No Public Warrant will be exercisable, and we will not be obligated to issue shares of Class A Common Stock upon exercise of a Public Warrant unless the shares of Class A Common Stock issuable upon such warrant exercise has been registered, qualified or deemed to be exempt from registration or qualification under the securities laws of the state of residence of the registered holder of the Public Warrants. In the event that the conditions in the two immediately preceding sentences are not satisfied with respect to a Public Warrant, the holder of such warrant will not be entitled to exercise such warrant and such warrant may have no value and expire worthless, in which case the purchaser of a Unit containing such Public Warrants will have paid the full purchase price for the Unit solely for the shares of Class A Common Stock underlying such Unit. In no event will we be required to net cash settle any Public Warrant.</w:t>
      </w:r>
    </w:p>
    <w:p>
      <w:pPr>
        <w:spacing w:after="0" w:line="149"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We registered the shares of Class A Common Stock issuable upon exercise of the Public Warrants in the registration statement relating to the Merger. However, because the Public Warrants will be exercisable until their expiration date of December 21, 2028, in order to comply with the requirements of Section 10(a)(3) of the Securities Act following the consummation of an initial business combination, we will use our best efforts to file with the SEC a registration statement registering, under the Securities Act, the issuance of the shares of Class A Common Stock issuable upon exercise of the Public Warrants. We will use our best efforts to cause the same to become effective and to maintain the effectiveness of such registration statement, and a current prospectus relating thereto, until the expiration of the Public Warrants in accordance with the provisions of the Warrant Agreement. If any such registration statement has not been declared</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effective by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business day following the closing of the Merger, holders of the Public Warrants will have the right, during the period beginning on the 61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4"/>
          <w:szCs w:val="14"/>
          <w:color w:val="auto"/>
        </w:rPr>
        <w:t xml:space="preserve"> business day after the Closing and ending upon such registration statement being declared effective by the SEC, and during any other period when we fail to have maintained an effective registration statement covering the shares of Class A Common Stock issuable upon exercise of the Public Warrants, to exercise such warrants on a “cashless basis,” by exchanging the Public Warrants (in accordance with Section 3(a)(9) of the Securities Act (or any successor rule) or another exemption). Notwithstanding the above, if the shares of Class A Common Stock are at the time of any exercise of a Public Warrant not listed on a national securities exchange such that it satisfies the definition of a “covered security” under Section 18(b)(1) of the Securities Act (or any successor rule), we may, at our option, require holders of Public Warrants who exercise their Public Warrants to exercise such Public Warrants on a “cashless basis” in accordance with Section 3(a)(9) of the Securities Act (or any successor rule) and (i) in the event we so elect, we will not be required to file or maintain in effect a registration statement for the registration, under the Securities Act, of the shares of Class A Common Stock issuable upon exercise of the Public Warrants or (ii) if we do not so elect, we agree to use our best efforts to register or qualify for sale the shares of Class A Common Stock issuable upon exercise of the Public Warrants under the applicable blue sky laws of the state of residence of the exercising Public Warrant holder to the extent an exemption is not available.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i w:val="1"/>
          <w:iCs w:val="1"/>
          <w:color w:val="auto"/>
        </w:rPr>
        <w:t>Redemption of Public Warrants for Cash</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may redeem the Public Warrants in whole and not in part;</w:t>
      </w:r>
    </w:p>
    <w:p>
      <w:pPr>
        <w:spacing w:after="0" w:line="183" w:lineRule="exact"/>
        <w:rPr>
          <w:sz w:val="20"/>
          <w:szCs w:val="20"/>
          <w:color w:val="auto"/>
        </w:rPr>
      </w:pPr>
    </w:p>
    <w:p>
      <w:pPr>
        <w:ind w:left="1040" w:hanging="517"/>
        <w:spacing w:after="0"/>
        <w:tabs>
          <w:tab w:leader="none" w:pos="10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price of $0.01 per warrant;</w:t>
      </w:r>
    </w:p>
    <w:p>
      <w:pPr>
        <w:spacing w:after="0" w:line="183"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after the Public Warrants become exercisable;</w:t>
      </w:r>
    </w:p>
    <w:p>
      <w:pPr>
        <w:spacing w:after="0" w:line="183"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not less than 30 days’ prior written notice of redemption to each warrant holder;</w:t>
      </w:r>
    </w:p>
    <w:p>
      <w:pPr>
        <w:spacing w:after="0" w:line="183" w:lineRule="exact"/>
        <w:rPr>
          <w:rFonts w:ascii="Times New Roman" w:cs="Times New Roman" w:eastAsia="Times New Roman" w:hAnsi="Times New Roman"/>
          <w:sz w:val="14"/>
          <w:szCs w:val="14"/>
          <w:color w:val="auto"/>
        </w:rPr>
      </w:pPr>
    </w:p>
    <w:p>
      <w:pPr>
        <w:jc w:val="both"/>
        <w:ind w:left="1040" w:hanging="517"/>
        <w:spacing w:after="0" w:line="268" w:lineRule="auto"/>
        <w:tabs>
          <w:tab w:leader="none" w:pos="10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reported last sale price of the shares of Class A Common Stock equals or exceeds $90.60 per share (as adjusted for share subdivisions, share capitalizations, reorganizations, recapitalizations and the like and for certain issuances of shares of Class A Common Stock and equity-linked securities for capital raising purposes in connection with the closing of our initial business combination), for any 20 trading days within a 30-day trading period commencing after the Public Warrants become exercisable and ending on the third business day prior to the notice of redemption to warrant holders; and</w:t>
      </w:r>
    </w:p>
    <w:p>
      <w:pPr>
        <w:spacing w:after="0" w:line="141" w:lineRule="exact"/>
        <w:rPr>
          <w:rFonts w:ascii="Times New Roman" w:cs="Times New Roman" w:eastAsia="Times New Roman" w:hAnsi="Times New Roman"/>
          <w:sz w:val="14"/>
          <w:szCs w:val="14"/>
          <w:color w:val="auto"/>
        </w:rPr>
      </w:pPr>
    </w:p>
    <w:p>
      <w:pPr>
        <w:jc w:val="both"/>
        <w:ind w:left="1040" w:hanging="517"/>
        <w:spacing w:after="0" w:line="275" w:lineRule="auto"/>
        <w:tabs>
          <w:tab w:leader="none" w:pos="10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there is a current registration statement in effect with respect to the shares of Class A Common Stock underlying such Public Warrants at the time of redemption and for the entire 30-day trading period referred to above and continuing each day thereafter until the date of redemption, except if the Public Warrants may be exercised on a cashless basis and such cashless exercise is exempt from registration under the Securities Act.</w:t>
      </w:r>
    </w:p>
    <w:p>
      <w:pPr>
        <w:spacing w:after="0" w:line="135"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 xml:space="preserve">We have established the penultimate item of the redemption criterion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his, her or its Public Warrant prior to the scheduled redemption date. Any such exercise would not be done on a “cashless” basis and would require the exercising warrant holder to pay the exercise price for each Public Warrant being exercised. However, the price of the Ordinary Share may fall below the $90.60 redemption trigger price (as adjusted for adjustments to the number of shares issuable upon exercise or the exercise price of a Public Warrant as described under the heading “— </w:t>
      </w:r>
      <w:r>
        <w:rPr>
          <w:rFonts w:ascii="Times New Roman" w:cs="Times New Roman" w:eastAsia="Times New Roman" w:hAnsi="Times New Roman"/>
          <w:sz w:val="14"/>
          <w:szCs w:val="14"/>
          <w:i w:val="1"/>
          <w:iCs w:val="1"/>
          <w:color w:val="auto"/>
        </w:rPr>
        <w:t>Anti-dilution Adjustments</w:t>
      </w:r>
      <w:r>
        <w:rPr>
          <w:rFonts w:ascii="Times New Roman" w:cs="Times New Roman" w:eastAsia="Times New Roman" w:hAnsi="Times New Roman"/>
          <w:sz w:val="14"/>
          <w:szCs w:val="14"/>
          <w:color w:val="auto"/>
        </w:rPr>
        <w:t>” below) as well as the $57.90 (for whole shares) warrant exercise price after the redemption notice is issued. As of the date of this prospectus, the trading price of the shares of Class A Common Stock on Nasdaq has not achieved the $90.60 threshold that would allow us to redeem the Public Warrants.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Redemption Procedures and Cashless Exercise</w:t>
      </w:r>
    </w:p>
    <w:p>
      <w:pPr>
        <w:spacing w:after="0" w:line="187"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If we call the Public Warrants for redemption as described above, the Board will have the option to require any holder that wishes to exercise its Public Warrant to do so on a “cashless basis,” by surrendering the Public Warrants for that number of shares of Class A Common Stock equal to the quotient obtained by dividing (x) the product of the number shares of Class A Common Stock underlying the warrants, multiplied by the excess of the “fair market value” (defined below), over the exercise price of the warrants by (y) the fair market value. “Fair market value” means the average reported closing price of the shares of Class A Common Stock as reported during the ten (10) trading days ending on the third trading day prior to the date on which the notice of redemption is sent to the holders of the Public Warrants. If our Board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If we call the Public Warrants for redemption and our Board does not take advantage of this option, the members of the Sponsor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78" w:name="page79"/>
    <w:bookmarkEnd w:id="78"/>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9.9% (as specified by the holder) of the shares of Class A Common Stock outstanding immediately after giving effect to such exercise.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Anti-Dilution Adjustments</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If the number of outstanding shares of Class A Common Stock is increased by a share capitalization payable in shares of Class A Common Stock, or by a split-up of shares of Class A Common Stock or other similar event, then, on the effective date of such share capitalization, split-up or similar event, the number of shares of Class A Common Stock issuable on exercise of each Public Warrant will be increased in proportion to such increase in the outstanding shares of Class A Common Stock.</w:t>
      </w:r>
    </w:p>
    <w:p>
      <w:pPr>
        <w:spacing w:after="0" w:line="135"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shares of our share capital into which the warrants are convertible), other than (a) as described above, (b) any cash dividend or cash distribution which, when combined on a per share basis with the per share amounts of all other cash dividends and cash distributions paid on the shares of Class A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of Class A Common Stock issuable on exercise of each Public Warrant), but only with respect to the amount of the aggregate cash dividends or cash distributions equal to or less than $5.00 per share (c) to satisfy the redemption rights of the holders of the shares of Class A Common Stock in connection with a proposed initial business combination, (d) to satisfy the redemption rights of the holders of the shares of Class A Common Stock in connection with a shareholder vote to amend the Existing Charter to modify the substance or timing of our obligation to redeem 100% of the Class A Common Stock if the Company does not complete the initial business combination within the period set forth in the Existing Charter or with respect to any other provisions relating to shareholders’ rights or pre-initial business combination activity or (e) in connection with the redemption of the Public Shares upon our failure to complete an initial business combination, then the Public Warrant exercise price will be decreased, effective immediately after the effective date of such event, by the amount of cash and/or the fair market value (as determined by our Board in good faith) of any securities or other assets paid on each Ordinary Share in respect of such event.</w:t>
      </w:r>
    </w:p>
    <w:p>
      <w:pPr>
        <w:spacing w:after="0" w:line="320"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outstanding shares of Class A Common Stock.</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Whenever the number of shares of Class A Common Stock purchasable upon the exercise of the Public Warrants is adjusted, as described above, the Public Warrant exercise price will be adjusted (to the nearest cent) by multiplying such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142"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In addition, if (x) we issued additional shares of Class A Common Stock or equity-linked securities for capital raising purposes in connection with the Closing at an issue price or effective issue price of less than $92.00 per share (with such issue price or effective issue price to be determined in good faith by our Board and, in the case of any such issuance to the Sponsor and the officers and directors of Chavant (collectively, the “Initial Shareholders”) or their affiliates, without taking into account any shares issued to the Sponsor prior to the consummation of the Chavant IPO (the “Founder Shares”) held by such shareholders or their affiliates, as applicable, prior to such issuance) (the “Newly Issued Price”), (y) the aggregate gross proceeds from such issuances represented more than 60% of the total equity proceeds, and interest thereon, available for funding the initial business combination on the date of Closing (net of redemptions), and (z) the volume weighted average trading price of the shares of Class A Common Stock during the ten (10) trading day period starting on the trading day prior to the Closing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79" w:name="page80"/>
    <w:bookmarkEnd w:id="79"/>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Date (such price, the “Market Value”) was below $92.00 per share, the exercise price of the Public Warrants will be adjusted (to the nearest cent) to be equal to 115% of the higher of the Market Value and the Newly Issued Price, the $180.00 per share redemption trigger described under “</w:t>
      </w:r>
      <w:r>
        <w:rPr>
          <w:rFonts w:ascii="Times New Roman" w:cs="Times New Roman" w:eastAsia="Times New Roman" w:hAnsi="Times New Roman"/>
          <w:sz w:val="14"/>
          <w:szCs w:val="14"/>
          <w:i w:val="1"/>
          <w:iCs w:val="1"/>
          <w:color w:val="auto"/>
        </w:rPr>
        <w:t>— Redemption of Warrants for Cash</w:t>
      </w:r>
      <w:r>
        <w:rPr>
          <w:rFonts w:ascii="Times New Roman" w:cs="Times New Roman" w:eastAsia="Times New Roman" w:hAnsi="Times New Roman"/>
          <w:sz w:val="14"/>
          <w:szCs w:val="14"/>
          <w:color w:val="auto"/>
        </w:rPr>
        <w:t>” will be adjusted (to the nearest cent) to be equal to 180% of the higher of the Market Value and the Newly Issued Price. As a result of the issuances of shares under the PIPE Subscription Agreements and other agreements in connection with the Closing, we adjusted the exercise price of the Warrants from $115.00 to $57.90 per share and adjusted the redemption trigger price from $180.00 to $90.60 per share.</w:t>
      </w:r>
    </w:p>
    <w:p>
      <w:pPr>
        <w:spacing w:after="0" w:line="142"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the outstanding shares of Class A Common Stock), or in the case of any sale or conveyance to another corporation or entity of the assets or other property of Mobix Labs as an entirety or substantially as an entirety in connection with which we are dissolved, the holders of the Public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Matters</w:t>
      </w:r>
    </w:p>
    <w:p>
      <w:pPr>
        <w:spacing w:after="0" w:line="18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The Public Warrants were issued in registered form under the Warrant Agreement between Continental Stock Transfer &amp; Trust Company, as warrant agent, and the Company. You should review a copy of the Warrant Agreement, which is filed as an exhibit to the registration statement, for a complete description of the terms and conditions applicable to the Public Warrants. The Warrant Agreement provides that the terms of the Public Warrants may be amended without the consent of any holder to cure any ambiguity or correct any defective provision or mistake, and that all other modifications or amendments will require the vote or written consent of the holders of at least 50% of the then-outstanding Public Warrants, and, solely with respect to any amendment to the terms of the Private Placement Warrants, a majority of the then-outstanding Private Placement Warrants.</w:t>
      </w:r>
    </w:p>
    <w:p>
      <w:pPr>
        <w:spacing w:after="0" w:line="144"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Public Warrant holders do not have the rights or privileges of holders of shares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spacing w:after="0" w:line="144"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Public Warrant holder.</w:t>
      </w:r>
    </w:p>
    <w:p>
      <w:pPr>
        <w:spacing w:after="0" w:line="123"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4"/>
          <w:szCs w:val="14"/>
          <w:color w:val="auto"/>
        </w:rPr>
        <w:t>The Warrant Agreement provides that any dispute, controversy, or claim, whether in contract of tort, arising or relating to the Warrant Agreement or the enforcement, breach, termination, or validity thereof, shall be submitted to final and binding arbitration in Orange County, California before one neutral and impartial arbitrator, in accordance with the laws of the state of New York. As a result, warrant holders will not be able to pursue litigation in federal or state court against us and instead will be required to pursue such claims through a final and binding arbitration proceeding.</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i w:val="1"/>
          <w:iCs w:val="1"/>
          <w:color w:val="auto"/>
        </w:rPr>
        <w:t>PIPE Warrants</w:t>
      </w:r>
    </w:p>
    <w:p>
      <w:pPr>
        <w:spacing w:after="0" w:line="177"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On December 20, 2023, Chavant entered into a subscription agreement with Joseph J. Gebbia (“Gebbia”) (the “Gebbia PIPE Subscription Agreement”) pursuant to which Gebbia purchased 7,500 shares of our Class A Common Stock in cash at a price of $100.00 per share for an aggregate purchase price of $750,000, on the terms and subject to the conditions set forth in the Gebbia PIPE Subscription Agreement. In connection with the execution of the Gebbia PIPE Subscription Agreement, Legacy Mobix issued to Gebbia a warrant to purchase 15,000 shares of common stock of Legacy Mobix at an exercise price of $0.10 per share (the “Gebbia Warrant”). We assumed the Gebbia Warrant in the Merger.</w:t>
      </w:r>
    </w:p>
    <w:p>
      <w:pPr>
        <w:spacing w:after="0" w:line="142"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On December 20, 2023, Chavant entered into a subscription agreement with Steven Wright Owens, Jr. (“Owens”) (the “Owens PIPE Subscription Agreement”) pursuant to which Owens purchased 5,000 shares of our Class A Common Stock in cash at a price of $100.00 per share for an aggregate purchase price of $500,000, on the terms and subject to the conditions set forth in the Owens PIPE Subscription Agreement. In connection with the execution of the Owens PIPE Subscription Agreement, Legacy Mobix issued to Owens a warrant to purchase 15,000 shares of common stock of Legacy Mobix at an exercise price of $0.10 per share.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Warrants and Series B Warrants (“Existing Warrants”)</w:t>
      </w:r>
    </w:p>
    <w:p>
      <w:pPr>
        <w:spacing w:after="0" w:line="187"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Pursuant to the July 2024 Purchase Agreement, on July 22, 2024 we issued the Existing Warrants as part of the July 2024 Private Placement, each to purchase up to 287,769 shares of Class A Common Stock, to an accredited investor at an exercise price of $13.90 per share. Pursuant to the April 2025 Purchase Agreement, the Company agreed to reduce the exercise price of the Existing Warrants to $8.20 per share. The Existing Warrants became exercisable beginning on the effective date of stockholder approval, which was obtained on May 30, 2025, at an exercise price of $8.20. The Series A Warrants will expire on January 3, 2030 and the Series B Warrants will expire on April 3, 2030.</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Pursuant to the Inducement Letter, the holder of the Existing Warrants agreed to exercise for cash the Existing Warrants to purchase 148,495 shares of Class A Common Stock underlying the Series A Warrants and 148,495 shares Class A Common Stock underlying the Series B Warrants at the current exercise price of $8.20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Warrants and Pre-Funded Warrants</w:t>
      </w:r>
    </w:p>
    <w:p>
      <w:pPr>
        <w:spacing w:after="0" w:line="18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On April 4, 2025, we entered into the April 2025 Purchase Agreement with an investor. Pursuant to the April 2025 Purchase Agreement, on April 7, 2025, we issued 385,000 shares of Class A Common Stock and the Pre-Funded Warrant in a Registered Direct Offering (constituting part of the 2025 Offering). The public offering price for each share was $8.20 and the public offering price for each Pre-Funded Warrant was $8.20. Simultaneous with the Registered Direct Offering, the Company conducted a private placement as part of the 2025 Offering and issued the Common Warrants to purchase up to 487,686 shares of our Class A Common Stock. The Pre-Funded Warrant had an exercise price of $0.001 per share and was partially exercised on May 28, 2025, with the balance exercised on June 4, 2025. The Common Warrants became exercisable beginning on the effective date of stockholder approval, which occurred on May 30, 2025 and will expire on May 30, 2030.</w:t>
      </w:r>
    </w:p>
    <w:p>
      <w:pPr>
        <w:spacing w:after="0" w:line="316"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September 3, 2025, we entered into the Inducement Letter with the holder. Pursuant to the Inducement Letter, the holder of the Common Warrants agreed to exercise for cash the Common Warrants to purchase 251,656 shares of Class A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Placement Agent Warrants</w:t>
      </w:r>
    </w:p>
    <w:p>
      <w:pPr>
        <w:spacing w:after="0" w:line="18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As compensation in connection with the 2024 Private Placement, we issued to HCW, acting as our exclusive placement agent or its designees upon closing of the 2024 Private Placement warrants to purchase up to 20,143 shares of Class A Common Stock at an exercise price of $17.375 per share. These warrants became exercisable on January 3, 2025 and are set to expire on January 3, 2030. Upon any exercise for cash of the Existing Warrants, we are obligated to pay HCW a cash fee of 8.0% of the aggregate gross proceeds received from the exercise of any of the Existing Warrants (which includes a management fee of 1.0%) and will also be obligated to issue the Private Placement Warrants to HCW (or its designees) to purchase up to 20,143 shares of our Class A Common Stock (representing 7.0% of the aggregate number of such shares of our common stock underlying the Existing Warrants).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81" w:name="page82"/>
    <w:bookmarkEnd w:id="81"/>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As compensation for the 2025 Offering, we paid to Roth a cash placement fee equal to 7.0% of the aggregate gross proceeds raised in the 2025 Offering. In addition, we also issued to Roth (or its designees) to purchase up to 68,276 shares of Class A Common Stock equal to 7% of aggregate number of Class A Common Stock issued in the 2025 Offering at an exercise price of $8.20. Furthermore, we also paid Roth fees and expenses of $75,000 for expenses in connection with the 2025 Offering. The Placement Agent Warrants issued to Roth became exercisable beginning on the effective date of stockholder approval, which was obtained on May 30, 2025, and will expire on April 4, 2030, and are not transferable for 180 days beginning April 4, 2025 (the date of entering into the April 2025 Purchase Agreement).</w:t>
      </w:r>
    </w:p>
    <w:p>
      <w:pPr>
        <w:spacing w:after="0" w:line="14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As compensation for the placing of the Inducement Warrants, we paid Roth a cash placement fee equal to 7.0% of the aggregate gross proceeds from the exercise of the warrants exercised pursuant to the Inducement Letter and issued warrants to purchase up to 38,405 shares of our Class A Common Stock (representing 7.0% of the sum of the warrants exercised) at an exercise price of $10.80 per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Inducement Warrants</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September 3, 2025, we entered into the Inducement Letter. In consideration for the Holder’s agreement to exercise the warrants for cash, we agreed to issue to the Holder Inducement Warrants to purchase up to an aggregate of 822,970 shares of Class A Common Stock at an exercise price of $10.80 per share. The Inducement Warrants will become exercisable upon stockholder approval and will expire five years from the initial exercise date.</w:t>
      </w:r>
    </w:p>
    <w:p>
      <w:pPr>
        <w:spacing w:after="0" w:line="13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exercise price and number of shares of Class A Common Stock issuable upon exercise are subject to adjustment in the event of stock splits, stock dividends, reorganizations, or similar events. The Inducement Warrants are subject to customary limitations on beneficial ownership and may be exercised on a cashless basis if a registration statement is not available. In connection with certain fundamental transactions, the Holder may have the right to alternative consideration or to redeem the unexercised portion of the Inducement Warrants at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Modification of Warrants</w:t>
      </w:r>
    </w:p>
    <w:p>
      <w:pPr>
        <w:spacing w:after="0" w:line="187"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 xml:space="preserve">On October 24, 2025, we entered into amendments to certain liability-classified warrants to purchase an aggregate of 1,337,549 shares of our Class A Common Stock. The amendments revised certain terms of the warrants, including terms that could potentially require cash settlement, such that under the guidance in ASC Topic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xml:space="preserve"> and ASC Topic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the warrants are equity-classified financial instruments. The amendments did not affect any terms of the warrants that are inputs into the estimation of the fair value of warrants under the Black-Scholes option pricing model, which we use to estimate the fair value of warrants.</w:t>
      </w:r>
    </w:p>
    <w:p>
      <w:pPr>
        <w:spacing w:after="0" w:line="142"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As a result of the amendments to the warrants, we remeasured the related liabilities to their estimated fair value of $6,912 as of the date of the amendments and we reclassified this amount from “Liability-classified warrants” to “Additional paid-in capital” in the condensed consolidated balance sheet. As consideration for these amendments, we issued the warrant holder an additional warrant to purchase 100,000 shares of our Class A Common Stock at a price of $10.80 per share. We recognized the $514 fair value of the additional warrant as an expense, included in “Other non-operating losses, net” in the condensed consolidated statements of operations and comprehensive loss for the three months ended December 31,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Stock Purchase Warrants</w:t>
      </w:r>
    </w:p>
    <w:p>
      <w:pPr>
        <w:spacing w:after="0" w:line="18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On May 19, 2026, we entered into the May 2026 Purchase Agreement, pursuant to which we agreed to sell to Kips (i) the Preferred Shares for aggregate gross proceeds of $2,400, and (ii) the May 2026 Preferred Warrant to purchase up to an additional 6,000 shares of Series A Preferred Stock at an exercise price of $1,000 per share. The May 2026 Preferred Warrant is exercisable beginning May 19, 2026 and expires no later than twelve months thereafter. On August 28, 2026, we entered into an amendment to the May 2026 Purchase Agreement, pursuant to which we agreed to sell to Kips (i) 1,000 additional shares of Series A Preferred Stock and (ii) the August 2026 Preferred Warrant to purchase 6,000 additional shares of Series A Preferred Stock. As of October 14, 2026, there were 241 shares of Series A Preferred Stock outstanding, and 9,800 shares of Series A Preferred Stock issuable upon conversion of the Preferred Warrants.</w:t>
      </w:r>
    </w:p>
    <w:p>
      <w:pPr>
        <w:spacing w:after="0" w:line="144"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exercise price and number of shares of Class A Common Stock issuable upon exercise of the Preferred Warrants are subject to adjustment in the event of stock splits, stock dividends, reorganizations, or similar events. The Preferred Warrants are subject to customary limitations on beneficial 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 of Securities</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Mobix Labs’ Common Stock is currently listed on The Nasdaq Capital Market, under the symbol “MOBX” and the Public Warrants are currently listed on The Nasdaq Capital Market under the symbol “MOBXW”.</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transfer agent and registrar for the Common Stock and warrant agent for the Warrants is Continental Stock Transfer &amp; Trust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Effects of Provisions of the Charter, the Bylaws and the DGCL</w:t>
      </w:r>
    </w:p>
    <w:p>
      <w:pPr>
        <w:spacing w:after="0" w:line="185"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Certain provisions of the Charter, the Bylaws, and the DGCL could make it more difficult to acquire Mobix Labs by means of a tender offer, a proxy contest or otherwise, or to remove incumbent officers and directors. These provisions, summarized below, are intended to discourage coercive takeover practices and inadequate takeover bids. These provisions are also designed to encourage persons seeking to acquire control of Mobix Labs to first negotiate with the Board. Mobix Labs believes that the benefits of these provisions outweigh the disadvantages of discouraging certain takeover or acquisition proposals because, among other things, negotiation of these proposals could result in an improvement of their terms and enhance the ability of the Board to maximize stockholder value. However, these provisions may delay, deter or prevent a merger or acquisition of Mobix Labs that a stockholder might consider is in their best interest or in Mobix Labs’ best interests, including transactions that might result in a premium over the prevailing market price of Class A Common Stock. For additional information, see the section titled “</w:t>
      </w:r>
      <w:r>
        <w:rPr>
          <w:rFonts w:ascii="Times New Roman" w:cs="Times New Roman" w:eastAsia="Times New Roman" w:hAnsi="Times New Roman"/>
          <w:sz w:val="14"/>
          <w:szCs w:val="14"/>
          <w:i w:val="1"/>
          <w:iCs w:val="1"/>
          <w:color w:val="auto"/>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Factors — Delaware law and Mobix Labs’ governing documents contain certain provisions, including anti-takeover provisions, that limit the ability of stockholders to take certain actions and that could delay or discourage takeover attempts that stockholders may consider favorable.”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Classified Board of Directors</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The Charter and the Bylaws provide that, except for those directors, if any, elected by the holders of any series of Preferred Stock then outstanding pursuant to the Charter, the Board will be divided into three (3) classes of directors, designated as Class I, Class II and Class III, with the classes to be as nearly equal in number as possible, and with each class being elected to a staggered three-year term. As a result, approximately one-third of the Board will be elected each year. The classification of directors will have the effect of making it more difficult and time-consuming for stockholders to change the composition of the Board.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Authorized but Unissued Shares</w:t>
      </w:r>
    </w:p>
    <w:p>
      <w:pPr>
        <w:spacing w:after="0" w:line="18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The authorized but unissued shares of Common Stock and, once created by the Board in accordance with the Charter, authorized but unissued shares of one or more series of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once created by the Board in accordance with the Charter, authorized but unissued shares of one or more series of Preferred Stock could make more difficult or discourage an attempt to obtain control of Mobix Labs by means of a proxy contest, tender offer, merger or otherwise.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Stockholder Action; Special Meetings of Stockholders</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Charter provides that, except as otherwise provided by or pursuant to the Charter, Mobix Labs’ stockholders may not take action by written consent, but may only take action at annual or special meetings of stockholders.</w:t>
      </w:r>
    </w:p>
    <w:p>
      <w:pPr>
        <w:spacing w:after="0" w:line="123"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Further, the Charter provides that solely the Chairperson of the Board, the Chief Executive Officer of Mobix Labs, the President of Mobix Labs, or the Board acting pursuant to a resolution adopted by a majority of the whole board may call special meetings of stockholders, and that the Board will call a special meeting of stockholders upon the written request (made in accordance with the Charter and the Bylaws) of the holders of not less than ten percent of the voting power of the outstanding shares of capital stock of Mobix Labs generally entitled to vote on the nomination, question or business for which such special meeting is requested to be called. These provisions might delay the ability of stockholders to force consideration of a proposal or for stockholders controlling a majority of Mobix Labs capital stock to take any action, including the removal of directors.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color w:val="auto"/>
        </w:rPr>
        <w:t>Advance Notice Requirements for Stockholder Proposals and Director Nominations</w:t>
      </w:r>
    </w:p>
    <w:p>
      <w:pPr>
        <w:spacing w:after="0" w:line="185"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The Bylaws provide that stockholders seeking to bring business before Mobix Labs’ annual meeting of stockholders (other than business required by or pursuant to the Charter to be voted on by the holders of a class of capital stock of Mobix Labs, separately as a single class, or by the holders of a series of Preferred Stock, separately as a single class), or to nominate candidates for election as directors at its annual meeting of stockholders, must provide timely notice. To be timely, a stockholder’s notice will need to be delivered to the Secretary of Mobix Labs at Mobix Labs’ principal executive offices not less than 90 days nor more than 120 days prior to the one-year anniversary of the preceding year’s annual meeting, provided, however, that in the event that no annual meeting was held during the preceding year or the date of the annual meeting is more than 30 days before or more than 70 days after such anniversary date, to be timely, a stockholder’s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notice must be so delivered not earlier than the close of business on the 120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day prior to such annual meeting and not later than the 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day prior to such annual meeting or, if later, the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day following the day on which public announcement of the date of such annual meeting was first made by Mobix Labs. The Bylaws also specify certain requirements as to the form and content of a stockholders’ notice. These provisions may preclude Mobix Labs’ stockholders from bringing matters before its annual meeting of stockholders or from making nominations for directors at its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Supermajority Requirements for the Amendment of the Charter and the Bylaws</w:t>
      </w:r>
    </w:p>
    <w:p>
      <w:pPr>
        <w:spacing w:after="0" w:line="18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The Bylaws provide that the Bylaws may be amended or repealed by the Board or by the affirmative vote of the holders of at least 66⅔% in voting power of the then outstanding shares of capital stock of Mobix Labs entitled to vote, voting together as a single class. In addition, the Charter provides that the affirmative vote of the holders of at least 66⅔% of the voting power of the then outstanding shares of capital stock of Mobix Labs generally entitled to vote, voting together as a single class, will be required to amend certain provisions of the Charter, including provisions relating to the classified board, the size of the board, removal of directors, special meetings of stockholders, actions by written consent, and exculpation of directors and officers.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Directors Removed Only for Cause</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Charter provides that, subject to the rights of the holders of any series of Preferred Stock provided by or pursuant to the Charter, no director may be removed from the Board except for cause and only by the affirmative vote of the holders of at least a majority of the voting power of the then outstanding shares of capital stock of Mobix Labs entitled to vote at an election of directors, voting together as a single class.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Board Vacancies</w:t>
      </w:r>
    </w:p>
    <w:p>
      <w:pPr>
        <w:spacing w:after="0" w:line="18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The Charter provides that, subject to applicable law and the rights, if any, of the holders of any class of capital stock of Mobix Labs then outstanding to elect one or more directors or the holders of any series of Preferred Stock then outstanding to elect one or more preferred directors, newly created directorships resulting from an increase in the authorized number of directors or any vacancies on the board of directors will be filled solely and exclusively by a majority of the directors then in office, even if less than a quorum, or by the sole remaining director. Any director so elected will hold office until the expiration of the term of office of the director whom he or she has replaced and until his or her successor will be elected and qualified, subject to such director’s earlier death, resignation, disqualification or removal. No decrease in the number of directors will shorten the term of any incumbent director.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84" w:name="page85"/>
    <w:bookmarkEnd w:id="84"/>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These provisions prevent a stockholder from increasing the size of the Board and then gaining control of the board by filling the resulting vacancies with its own nominees. This makes it more difficult to change the composition of the Board, but promotes continuity of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Exclusive Forum Selection</w:t>
      </w:r>
    </w:p>
    <w:p>
      <w:pPr>
        <w:spacing w:after="0" w:line="185"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The Charter provides, unless Mobix Labs consents in writing to the selection of an alternative forum and to the fullest extent permitted by law, that the Court of Chancery of the State of Delaware (or, if the Court of Chancery of the State of Delaware lacks jurisdiction, any state or federal court located within the State of Delaware) will be the sole and exclusive forum for: (a) any derivative action or proceeding brought on behalf of Mobix Labs, (b) any action asserting a claim of breach of fiduciary duty owed by any director, officer or employee of Mobix Labs to Mobix Labs or the Mobix Labs stockholders, (c) any civil action to interpret, apply or enforce any provision of the DGCL, (d) any civil action to interpret, apply, enforce or determine the validity of the provisions of the Charter or the Bylaws or (e) any action asserting a claim governed by the internal affairs doctrine, in all cases subject to the court’s having personal jurisdiction over the indispensable parties named as defendants. However, such forum selection provisions will not apply to the resolution of any complaint asserting a cause of action arising under the Securities Act or any action asserting claims arising under the Exchange Act.</w:t>
      </w:r>
    </w:p>
    <w:p>
      <w:pPr>
        <w:spacing w:after="0" w:line="147"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Charter also provides that, unless Mobix Labs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Charter provides that the federal district courts of the United States will have exclusive jurisdiction over any action asserting a cause of action arising under the Securities Act. Accordingly, there is uncertainty as to whether a court would enforce such provision. Mobix Labs stockholders will not be deemed to have waived Mobix Labs’ compliance with the federal securities laws and the rules and regulations thereunder.</w:t>
      </w:r>
    </w:p>
    <w:p>
      <w:pPr>
        <w:spacing w:after="0" w:line="142"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Section 27 of the Exchange Act creates exclusive United States federal jurisdiction over all claims brought to enforce any duty or liability created by the Exchange Act or the rules and regulations thereunder. As noted above, the Charter provides that the choice of forum provision does not apply to any action asserting claims arising under the Exchange Act. Accordingly, actions by Mobix Labs stockholders asserting claims arising under the Exchange Act or the rules and regulations thereunder must be brought in United States federal court. Mobix Labs stockholders will not be deemed to have waived Mobix Labs’ compliance with the federal securities laws and the regulations promulgated thereunder.</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Any person or entity purchasing or otherwise acquiring any interest in shares of Mobix Labs’ capital stock will be deemed to have notice of and consented to the forum selection provisions in the Charter.</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The choice of forum provisions may limit a stockholder’s ability to bring a claim in a judicial forum that it finds favorable for disputes with Mobix Labs or its directors, officers, or other employees, which may discourage such lawsuits against Mobix Labs and its directors, officers, and other employees. Alternatively, if a court were to find the choice of forum provisions contained in the Charter to be inapplicable or unenforceable in an action, Mobix Labs may incur additional costs associated with resolving such action in other jurisdictions, which could harm its business, results of operations, and financial condition.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Section 203 of the Delaware General Corporation Law</w:t>
      </w:r>
    </w:p>
    <w:p>
      <w:pPr>
        <w:spacing w:after="0" w:line="185"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Mobix Labs is subject to the provisions of Section 203 of the DGCL. In general, Section 203 prohibits a Delaware corporation that is listed on a national securities exchange or held of record by more than 2,000 stockholders from engaging in a “business combination” with an “interested stockholder” for a three-year period following the time that such stockholder becomes an interested stockholder, unless the business combination is approved in a prescribed manner as summarized below. A “business combination” includes, among other things, certain mergers, asset or stock sales or other transactions together resulting in a financial benefit to the interested stockholder. An “interested stockholder” is a person who, together with affiliates and associates, owns, or did own within three years prior to the determination of interested stockholder status, 15% or more of the corporation’s outstanding voting stock. Under Section 203 of the DGCL, a business combination between a corporation and an interested stockholder is prohibited unless it satisfies one of the following conditions:</w:t>
      </w:r>
    </w:p>
    <w:p>
      <w:pPr>
        <w:spacing w:after="0" w:line="143" w:lineRule="exact"/>
        <w:rPr>
          <w:sz w:val="20"/>
          <w:szCs w:val="20"/>
          <w:color w:val="auto"/>
        </w:rPr>
      </w:pPr>
    </w:p>
    <w:p>
      <w:pPr>
        <w:ind w:left="1040" w:hanging="517"/>
        <w:spacing w:after="0" w:line="293" w:lineRule="auto"/>
        <w:tabs>
          <w:tab w:leader="none" w:pos="10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stockholder became an interested stockholder, the board of directors of the corporation approved either the business combination or the transaction which resulted in the stockholder becoming an interested stockholder;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85" w:name="page86"/>
    <w:bookmarkEnd w:id="85"/>
    <w:p>
      <w:pPr>
        <w:jc w:val="both"/>
        <w:ind w:left="1040" w:hanging="517"/>
        <w:spacing w:after="0" w:line="275" w:lineRule="auto"/>
        <w:tabs>
          <w:tab w:leader="none" w:pos="10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those shares owned by persons who are directors and also officers, and employee stock plans, in some instances; or</w:t>
      </w:r>
    </w:p>
    <w:p>
      <w:pPr>
        <w:spacing w:after="0" w:line="135" w:lineRule="exact"/>
        <w:rPr>
          <w:rFonts w:ascii="Times New Roman" w:cs="Times New Roman" w:eastAsia="Times New Roman" w:hAnsi="Times New Roman"/>
          <w:sz w:val="14"/>
          <w:szCs w:val="14"/>
          <w:color w:val="auto"/>
        </w:rPr>
      </w:pPr>
    </w:p>
    <w:p>
      <w:pPr>
        <w:ind w:left="1040" w:hanging="517"/>
        <w:spacing w:after="0" w:line="293" w:lineRule="auto"/>
        <w:tabs>
          <w:tab w:leader="none" w:pos="10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after the time the stockholder became an interested stockholder, the business combination was approved by the board of directors of the corporation and authorized at an annual or special meeting of the stockholders by the affirmative vote of at least 66⅔% of the outstanding voting stock which is not owned by the interested stockholder.</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Under certain circumstances, Section 203 of the DGCL will make it more difficult for a person who would be an “interested stockholder” to effect various business combinations with a corporation for a three-year period. This provision may encourage companies interested in acquiring Mobix Labs to negotiate in advance with the Board because the stockholder approval requirement would be avoided if the Board approves either the business combination or the transaction which results in the stockholder becoming an interested stockholder. Section 203 of the DGCL also may have the effect of preventing changes in the Board and may make it more difficult to accomplish transactions which stockholders may otherwise deem to be in their best interests.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Limitation on Liability and Indemnification of Directors and Officers</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Bylaws provide that Mobix Labs’ directors and officers will be indemnified and advanced expenses by Mobix Labs to the fullest extent permitted by applicable law. In addition, the Charter provides that Mobix Labs’ directors and officers will not be liable to Mobix Labs or its stockholders for monetary damages for breaches of their fiduciary duty as directors and officers, except to the extent such exemption from liability or limitation thereof is not permitted under the DGCL.</w:t>
      </w:r>
    </w:p>
    <w:p>
      <w:pPr>
        <w:spacing w:after="0" w:line="13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Bylaws will also permit Mobix Labs to purchase and maintain insurance on behalf of any director, officer, employee or agent of Mobix Labs for any liability arising out of his or her status as such, regardless of whether the DGCL would permit indemnification.</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These provisions may discourage stockholders from bringing a lawsuit against Mobix Labs directors or officers for breach of their fiduciary duty. These provisions also may have the effect of reducing the likelihood of derivative litigation against directors and officers, even though such an action, if successful, might otherwise benefit Mobix Labs and its stockholders. Furthermore, a stockholder’s investment may be adversely affected to the extent Mobix Labs pays the costs of settlement and damage awards against directors and officers pursuant to these indemnification and advancement provisions.</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Mobix Labs’ directors, officers and controlling persons pursuant to the foregoing provisions, or otherwise, in the opinion of the SEC, such indemnification is against public policy as expressed in the Securities Act and is, therefore unenforceable.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86" w:name="page87"/>
    <w:bookmarkEnd w:id="86"/>
    <w:p>
      <w:pPr>
        <w:ind w:left="2820"/>
        <w:spacing w:after="0"/>
        <w:rPr>
          <w:sz w:val="20"/>
          <w:szCs w:val="20"/>
          <w:color w:val="auto"/>
        </w:rPr>
      </w:pPr>
      <w:r>
        <w:rPr>
          <w:rFonts w:ascii="Times New Roman" w:cs="Times New Roman" w:eastAsia="Times New Roman" w:hAnsi="Times New Roman"/>
          <w:sz w:val="14"/>
          <w:szCs w:val="14"/>
          <w:b w:val="1"/>
          <w:bCs w:val="1"/>
          <w:color w:val="auto"/>
        </w:rPr>
        <w:t>SECURITY OWNERSHIP OF CERTAIN BENEFICIAL OWNERS AND MANAGEMENT</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information known to us regarding the beneficial ownership of shares of Class A Common Stock by:</w:t>
      </w:r>
    </w:p>
    <w:p>
      <w:pPr>
        <w:spacing w:after="0" w:line="183" w:lineRule="exact"/>
        <w:rPr>
          <w:sz w:val="20"/>
          <w:szCs w:val="20"/>
          <w:color w:val="auto"/>
        </w:rPr>
      </w:pPr>
    </w:p>
    <w:p>
      <w:pPr>
        <w:ind w:left="1040" w:hanging="517"/>
        <w:spacing w:after="0"/>
        <w:tabs>
          <w:tab w:leader="none" w:pos="10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who is the beneficial owner of more than 5% of issued and outstanding shares of Class A Common Stock;</w:t>
      </w:r>
    </w:p>
    <w:p>
      <w:pPr>
        <w:spacing w:after="0" w:line="24"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 and directors; and</w:t>
      </w:r>
    </w:p>
    <w:p>
      <w:pPr>
        <w:spacing w:after="0" w:line="11"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executive officers and directors as a group.</w:t>
      </w:r>
    </w:p>
    <w:p>
      <w:pPr>
        <w:spacing w:after="0" w:line="170"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In computing the number of shares of Class A Common Stock beneficially owned by a person and the percentage ownership, we deemed outstanding shares of Class A Common Stock subject to options and warrants held by that person that are currently exercisable or exercisable within 60 days of the date of October 14, 2026 (the “Determination Date”) and restricted stock units that (i) have vested but are subject to certain delivery conditions that have not yet been met or (ii) are unvested but will vest within 60 days of the Determination Date. We did not deem these shares outstanding, however, for the purpose of computing the percentage ownership of any other person.</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Unless otherwise indicated, we believe that all persons named in the table have sole voting and investment power with respect to all shares of Class A Common Stock beneficially owned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them.</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Unless otherwise indicated, the address of each beneficial owner listed in the table below is c/o Mobix Labs, Inc., 1 Venture, Suite 220, Irvine, CA 92618.</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percentage ownership of Class A Common Stock is based on 23,576,570 shares of Class A Common Stock outstanding as of October 14, 2026.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 Shares of Mobix</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gridSpan w:val="2"/>
          </w:tcPr>
          <w:p>
            <w:pPr>
              <w:ind w:left="216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2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Labs Class A Common Stock</w:t>
            </w:r>
          </w:p>
        </w:tc>
        <w:tc>
          <w:tcPr>
            <w:tcW w:w="1920" w:type="dxa"/>
            <w:vAlign w:val="bottom"/>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and Executive Officers</w:t>
            </w:r>
          </w:p>
        </w:tc>
        <w:tc>
          <w:tcPr>
            <w:tcW w:w="22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color w:val="auto"/>
              </w:rPr>
              <w:t>Keyvan Samini</w:t>
            </w:r>
            <w:r>
              <w:rPr>
                <w:rFonts w:ascii="Times New Roman" w:cs="Times New Roman" w:eastAsia="Times New Roman" w:hAnsi="Times New Roman"/>
                <w:sz w:val="23"/>
                <w:szCs w:val="23"/>
                <w:color w:val="auto"/>
                <w:vertAlign w:val="superscript"/>
              </w:rPr>
              <w:t>(1)</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231,723</w:t>
            </w:r>
          </w:p>
        </w:tc>
        <w:tc>
          <w:tcPr>
            <w:tcW w:w="32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4"/>
                <w:szCs w:val="14"/>
                <w:color w:val="auto"/>
              </w:rPr>
              <w:t>James Peterson</w:t>
            </w:r>
            <w:r>
              <w:rPr>
                <w:rFonts w:ascii="Times New Roman" w:cs="Times New Roman" w:eastAsia="Times New Roman" w:hAnsi="Times New Roman"/>
                <w:sz w:val="23"/>
                <w:szCs w:val="23"/>
                <w:color w:val="auto"/>
                <w:vertAlign w:val="superscript"/>
              </w:rPr>
              <w:t>(2)</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530,746</w:t>
            </w:r>
          </w:p>
        </w:tc>
        <w:tc>
          <w:tcPr>
            <w:tcW w:w="3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color w:val="auto"/>
              </w:rPr>
              <w:t>David Aldrich</w:t>
            </w:r>
            <w:r>
              <w:rPr>
                <w:rFonts w:ascii="Times New Roman" w:cs="Times New Roman" w:eastAsia="Times New Roman" w:hAnsi="Times New Roman"/>
                <w:sz w:val="23"/>
                <w:szCs w:val="23"/>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113,050</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4"/>
                <w:szCs w:val="14"/>
                <w:color w:val="auto"/>
              </w:rPr>
              <w:t>Kurt Busch</w:t>
            </w:r>
            <w:r>
              <w:rPr>
                <w:rFonts w:ascii="Times New Roman" w:cs="Times New Roman" w:eastAsia="Times New Roman" w:hAnsi="Times New Roman"/>
                <w:sz w:val="23"/>
                <w:szCs w:val="23"/>
                <w:color w:val="auto"/>
                <w:vertAlign w:val="superscript"/>
              </w:rPr>
              <w:t>(4)</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121,318</w:t>
            </w:r>
          </w:p>
        </w:tc>
        <w:tc>
          <w:tcPr>
            <w:tcW w:w="3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color w:val="auto"/>
              </w:rPr>
              <w:t>William Carpou</w:t>
            </w:r>
            <w:r>
              <w:rPr>
                <w:rFonts w:ascii="Times New Roman" w:cs="Times New Roman" w:eastAsia="Times New Roman" w:hAnsi="Times New Roman"/>
                <w:sz w:val="23"/>
                <w:szCs w:val="23"/>
                <w:color w:val="auto"/>
                <w:vertAlign w:val="superscript"/>
              </w:rPr>
              <w:t>(5)</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113,979</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4"/>
                <w:szCs w:val="14"/>
                <w:color w:val="auto"/>
              </w:rPr>
              <w:t>Frederick Goerner</w:t>
            </w:r>
            <w:r>
              <w:rPr>
                <w:rFonts w:ascii="Times New Roman" w:cs="Times New Roman" w:eastAsia="Times New Roman" w:hAnsi="Times New Roman"/>
                <w:sz w:val="23"/>
                <w:szCs w:val="23"/>
                <w:color w:val="auto"/>
                <w:vertAlign w:val="superscript"/>
              </w:rPr>
              <w:t>(6)</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254,153</w:t>
            </w:r>
          </w:p>
        </w:tc>
        <w:tc>
          <w:tcPr>
            <w:tcW w:w="3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Long</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169,948</w:t>
            </w:r>
          </w:p>
        </w:tc>
        <w:tc>
          <w:tcPr>
            <w:tcW w:w="320" w:type="dxa"/>
            <w:vAlign w:val="bottom"/>
          </w:tcPr>
          <w:p>
            <w:pPr>
              <w:spacing w:after="0"/>
              <w:rPr>
                <w:sz w:val="14"/>
                <w:szCs w:val="14"/>
                <w:color w:val="auto"/>
              </w:rPr>
            </w:pP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Philip Sansone</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63,425</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All Directors and Executive Officers as a Group (eight individuals)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1,589,342</w:t>
            </w:r>
          </w:p>
        </w:tc>
        <w:tc>
          <w:tcPr>
            <w:tcW w:w="32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Five Percent and Greater Holders</w:t>
            </w: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4"/>
                <w:szCs w:val="14"/>
                <w:color w:val="auto"/>
              </w:rPr>
              <w:t>Armistice Capital, LLC</w:t>
            </w:r>
            <w:r>
              <w:rPr>
                <w:rFonts w:ascii="Times New Roman" w:cs="Times New Roman" w:eastAsia="Times New Roman" w:hAnsi="Times New Roman"/>
                <w:sz w:val="23"/>
                <w:szCs w:val="23"/>
                <w:color w:val="auto"/>
                <w:vertAlign w:val="superscript"/>
              </w:rPr>
              <w:t>(7)</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1,775,299</w:t>
            </w:r>
          </w:p>
        </w:tc>
        <w:tc>
          <w:tcPr>
            <w:tcW w:w="32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Less than one percent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87" w:name="page88"/>
    <w:bookmarkEnd w:id="87"/>
    <w:p>
      <w:pPr>
        <w:jc w:val="both"/>
        <w:ind w:left="260" w:hanging="254"/>
        <w:spacing w:after="0" w:line="265" w:lineRule="auto"/>
        <w:tabs>
          <w:tab w:leader="none" w:pos="29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63,750 shares of unvested stock awards, (ii) 29,614 shares of Class A Common Stock held of record by The KSSF Trust, dated November 27, 2012 (the “KSSF Trust”), (iii) 7,353 shares of Class A Common Stock held of record by The KSLI Trust, dated December 7, 2012 (the “KSLI Trust”), and (iv) 7,352 shares of Class A Common Stock held of record by The SSLI Trust dated December 7, 2012 (“SSLI Trust”). Keyvan Samini is Trustee of The KSSF Trust and The SSLI Trust, and may be deemed to have voting and investment power over securities held thereby. Keyvan Samini’s spouse is the Trustee of The KSLI Trust and may be deemed to have voting and investment power over securities held thereby. Includes options to purchase 32,352 shares of Class A Common Stock exercisable within 60 days of the Determination Date.</w:t>
      </w:r>
    </w:p>
    <w:p>
      <w:pPr>
        <w:spacing w:after="0" w:line="144" w:lineRule="exact"/>
        <w:rPr>
          <w:rFonts w:ascii="Times New Roman" w:cs="Times New Roman" w:eastAsia="Times New Roman" w:hAnsi="Times New Roman"/>
          <w:sz w:val="14"/>
          <w:szCs w:val="14"/>
          <w:color w:val="auto"/>
        </w:rPr>
      </w:pPr>
    </w:p>
    <w:p>
      <w:pPr>
        <w:ind w:left="260" w:hanging="254"/>
        <w:spacing w:after="0" w:line="293" w:lineRule="auto"/>
        <w:tabs>
          <w:tab w:leader="none" w:pos="301"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options to purchase 15,341 shares of Class A Common Stock exercisable within 60 days of the Determination Date and (ii) 35,000 restricted stock units that have vested but not yet been delivered.</w:t>
      </w:r>
    </w:p>
    <w:p>
      <w:pPr>
        <w:spacing w:after="0" w:line="123"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15,341 shares of Class A Common Stock exercisable within 60 days of the Determination Date.</w:t>
      </w:r>
    </w:p>
    <w:p>
      <w:pPr>
        <w:spacing w:after="0" w:line="183"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15,341 shares of Class A Common Stock exercisable within 60 days of the Determination Date.</w:t>
      </w:r>
    </w:p>
    <w:p>
      <w:pPr>
        <w:spacing w:after="0" w:line="183" w:lineRule="exact"/>
        <w:rPr>
          <w:rFonts w:ascii="Times New Roman" w:cs="Times New Roman" w:eastAsia="Times New Roman" w:hAnsi="Times New Roman"/>
          <w:sz w:val="14"/>
          <w:szCs w:val="14"/>
          <w:color w:val="auto"/>
        </w:rPr>
      </w:pPr>
    </w:p>
    <w:p>
      <w:pPr>
        <w:ind w:left="300" w:hanging="294"/>
        <w:spacing w:after="0"/>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15,341 shares of Class A Common Stock exercisable within 60 days of the Determination Date.</w:t>
      </w:r>
    </w:p>
    <w:p>
      <w:pPr>
        <w:spacing w:after="0" w:line="183" w:lineRule="exact"/>
        <w:rPr>
          <w:rFonts w:ascii="Times New Roman" w:cs="Times New Roman" w:eastAsia="Times New Roman" w:hAnsi="Times New Roman"/>
          <w:sz w:val="14"/>
          <w:szCs w:val="14"/>
          <w:color w:val="auto"/>
        </w:rPr>
      </w:pPr>
    </w:p>
    <w:p>
      <w:pPr>
        <w:ind w:left="260" w:hanging="254"/>
        <w:spacing w:after="0" w:line="293" w:lineRule="auto"/>
        <w:tabs>
          <w:tab w:leader="none" w:pos="301"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options to purchase 15,341 shares of Class A Common Stock exercisable within 60 days of the Determination Date and (ii) 35,000 restricted stock units that have vested but not yet been delivered.</w:t>
      </w:r>
    </w:p>
    <w:p>
      <w:pPr>
        <w:spacing w:after="0" w:line="123" w:lineRule="exact"/>
        <w:rPr>
          <w:rFonts w:ascii="Times New Roman" w:cs="Times New Roman" w:eastAsia="Times New Roman" w:hAnsi="Times New Roman"/>
          <w:sz w:val="14"/>
          <w:szCs w:val="14"/>
          <w:color w:val="auto"/>
        </w:rPr>
      </w:pPr>
    </w:p>
    <w:p>
      <w:pPr>
        <w:jc w:val="both"/>
        <w:ind w:left="260" w:hanging="254"/>
        <w:spacing w:after="0" w:line="264" w:lineRule="auto"/>
        <w:tabs>
          <w:tab w:leader="none" w:pos="29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13G/A filed on February 17, 2026 by Armistice Capital Master Fund Ltd., a Cayman Islands exempted company (the “Master Fund”). The securities are held directly by the Master Fund and may be deemed to be beneficially owned by: (i) Armistice Capital, LLC (“Armistice Capital”), as the investment manager of the Master Fund; (ii) Steven Boyd, as the Managing Member of Armistice Capital. This amount consists of (i) 337,750 shares and (ii) 1,437,549 shares underlying warrants that are exercisable within 60 days of the Determination Date. The warrants are subject to a beneficial ownership limitation of 9.99%, which such limitation restricts the stockholder from exercising that portion of the warrants that would result in the stockholder and its affiliates owning, after exercise, a number of shares of common stock in excess of the beneficial ownership limitation. The address of Armistice Capital Master Fund Ltd. is c/o Armistice Capital, LLC, 510 Madison Avenue, 7th Floor, New York, NY 10022.</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b w:val="1"/>
          <w:bCs w:val="1"/>
          <w:color w:val="auto"/>
        </w:rPr>
        <w:t>SELLING STOCKHOLDER</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prospectus relates to the offer and sale from time to time by the Selling Stockholder of up to 6,000,000 shares of Class A Common Stock.</w:t>
      </w:r>
    </w:p>
    <w:p>
      <w:pPr>
        <w:spacing w:after="0" w:line="18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Selling Stockholder may from time to time offer and sell any or all of the shares of Class A Common Stock set forth below pursuant to this prospectus and any accompanying prospectus supplement. We cannot advise you as to whether the Selling Stockholder will in fact sell any or all of such shares of Class A Common Stock.</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When we refer to the “Selling Stockholder” in this prospectus, we mean the person listed in the table below, and the pledgees, donees, transferees, assignees, successors, designees and others who later come to hold any of the Selling Stockholder’s interest in the Class A Common Stock other than through a public sale.</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The following table sets forth, as of the date of this prospectus, the names of the Selling Stockholder, the number of shares of Class A Common Stock that the Selling Stockholder may offer pursuant to this prospectus, and the number of shares of Class A Common Stock owned by the Selling Stockholder before the offering (as of October 14, 2026) and after the offering, assuming that the Selling Stockholder will sell all of their Offered Securities and will make no other purchases or sales of Class A Common Stock. Information below regarding the Selling Stockholder is based on information provided to us by the Selling Stockholder.</w:t>
      </w:r>
    </w:p>
    <w:p>
      <w:pPr>
        <w:spacing w:after="0" w:line="142" w:lineRule="exact"/>
        <w:rPr>
          <w:sz w:val="20"/>
          <w:szCs w:val="20"/>
          <w:color w:val="auto"/>
        </w:rPr>
      </w:pPr>
    </w:p>
    <w:p>
      <w:pPr>
        <w:jc w:val="both"/>
        <w:ind w:firstLine="517"/>
        <w:spacing w:after="0" w:line="286" w:lineRule="auto"/>
        <w:rPr>
          <w:sz w:val="20"/>
          <w:szCs w:val="20"/>
          <w:color w:val="auto"/>
        </w:rPr>
      </w:pPr>
      <w:r>
        <w:rPr>
          <w:rFonts w:ascii="Times New Roman" w:cs="Times New Roman" w:eastAsia="Times New Roman" w:hAnsi="Times New Roman"/>
          <w:sz w:val="14"/>
          <w:szCs w:val="14"/>
          <w:color w:val="auto"/>
        </w:rPr>
        <w:t>The number of shares beneficially owned is based on 23,576,570 shares of Class A Common Stock issued and outstanding as of October 14, 2026 and is determined in accordance with the rules of the SEC, which, among other things, assumes the exercise of convertible securities, warrants and options by a securityholder for shares of Class A Common Stock by such securityholder only.</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 Shares of Class</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2500" w:type="dxa"/>
            <w:vAlign w:val="bottom"/>
            <w:gridSpan w:val="3"/>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 Common Stock</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 of Class A Common</w:t>
            </w:r>
          </w:p>
        </w:tc>
        <w:tc>
          <w:tcPr>
            <w:tcW w:w="2500" w:type="dxa"/>
            <w:vAlign w:val="bottom"/>
            <w:gridSpan w:val="3"/>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Beneficially Owned Prior</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 to be Offered</w:t>
            </w:r>
          </w:p>
        </w:tc>
        <w:tc>
          <w:tcPr>
            <w:tcW w:w="2500" w:type="dxa"/>
            <w:vAlign w:val="bottom"/>
            <w:gridSpan w:val="3"/>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9"/>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 Offering</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Pursuant to this</w:t>
            </w:r>
          </w:p>
        </w:tc>
        <w:tc>
          <w:tcPr>
            <w:tcW w:w="2500" w:type="dxa"/>
            <w:vAlign w:val="bottom"/>
            <w:gridSpan w:val="3"/>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After Offering</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20" w:type="dxa"/>
            <w:vAlign w:val="bottom"/>
            <w:tcBorders>
              <w:bottom w:val="single" w:sz="8" w:color="CCEEFF"/>
            </w:tcBorders>
          </w:tcPr>
          <w:p>
            <w:pPr>
              <w:spacing w:after="0"/>
              <w:rPr>
                <w:sz w:val="15"/>
                <w:szCs w:val="15"/>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220" w:type="dxa"/>
            <w:vAlign w:val="bottom"/>
            <w:tcBorders>
              <w:bottom w:val="single" w:sz="8" w:color="CCEEFF"/>
            </w:tcBorders>
          </w:tcPr>
          <w:p>
            <w:pPr>
              <w:spacing w:after="0"/>
              <w:rPr>
                <w:sz w:val="15"/>
                <w:szCs w:val="15"/>
                <w:color w:val="auto"/>
              </w:rPr>
            </w:pPr>
          </w:p>
        </w:tc>
        <w:tc>
          <w:tcPr>
            <w:tcW w:w="168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Borders>
              <w:top w:val="single" w:sz="8" w:color="auto"/>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100" w:type="dxa"/>
            <w:vAlign w:val="bottom"/>
            <w:tcBorders>
              <w:bottom w:val="single" w:sz="8" w:color="CCEEFF"/>
            </w:tcBorders>
          </w:tcPr>
          <w:p>
            <w:pPr>
              <w:spacing w:after="0"/>
              <w:rPr>
                <w:sz w:val="15"/>
                <w:szCs w:val="15"/>
                <w:color w:val="auto"/>
              </w:rPr>
            </w:pPr>
          </w:p>
        </w:tc>
      </w:tr>
      <w:tr>
        <w:trPr>
          <w:trHeight w:val="195"/>
        </w:trPr>
        <w:tc>
          <w:tcPr>
            <w:tcW w:w="3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Kips Bay Select, LP</w:t>
            </w:r>
            <w:r>
              <w:rPr>
                <w:rFonts w:ascii="Times New Roman" w:cs="Times New Roman" w:eastAsia="Times New Roman" w:hAnsi="Times New Roman"/>
                <w:sz w:val="22"/>
                <w:szCs w:val="22"/>
                <w:color w:val="auto"/>
                <w:vertAlign w:val="superscript"/>
              </w:rPr>
              <w:t>(1)(2)</w:t>
            </w:r>
          </w:p>
        </w:tc>
        <w:tc>
          <w:tcPr>
            <w:tcW w:w="12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1,475,870(3)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bl>
    <w:p>
      <w:pPr>
        <w:spacing w:after="0" w:line="157" w:lineRule="exact"/>
        <w:rPr>
          <w:sz w:val="20"/>
          <w:szCs w:val="20"/>
          <w:color w:val="auto"/>
        </w:rPr>
      </w:pPr>
    </w:p>
    <w:p>
      <w:pPr>
        <w:ind w:left="260" w:hanging="254"/>
        <w:spacing w:after="0"/>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sale of all shares of our Class A Common Stock being offered for resale pursuant to this prospectus.</w:t>
      </w:r>
    </w:p>
    <w:p>
      <w:pPr>
        <w:spacing w:after="0" w:line="24" w:lineRule="exact"/>
        <w:rPr>
          <w:rFonts w:ascii="Times New Roman" w:cs="Times New Roman" w:eastAsia="Times New Roman" w:hAnsi="Times New Roman"/>
          <w:sz w:val="14"/>
          <w:szCs w:val="14"/>
          <w:color w:val="auto"/>
        </w:rPr>
      </w:pPr>
    </w:p>
    <w:p>
      <w:pPr>
        <w:jc w:val="both"/>
        <w:ind w:left="260" w:hanging="254"/>
        <w:spacing w:after="0" w:line="256" w:lineRule="auto"/>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Class A Common Stock offered pursuant to this prospectus consist of up to 6,000,000 shares of Class A Common Stock issuable upon conversion of the (i) 241 shares of Series A Preferred Stock and (ii) 9,800 shares of Series A Preferred Stock issuable upon exercise of the Preferred Warrants. The number of shares issued upon conversion is variable and is calculated as 82% of the lowest VWAP of the Class A Common Stock during the eight (8) trading days immediately prior to and including the applicable conversion date. Following the receipt of stockholder approval on October 2, 2026 and subsequent conversions of Series A Preferred Stock by Kips thereafter, Kips may be issued up to 6,000,000 additional shares of Class A Common Stock before we are required to seek further stockholder approval of the issuance of any shares of Class A Common Stock to Kips. John Miller holds voting and dispositive power over the Preferred Shares held by Kips.</w:t>
      </w:r>
    </w:p>
    <w:p>
      <w:pPr>
        <w:spacing w:after="0" w:line="2" w:lineRule="exact"/>
        <w:rPr>
          <w:rFonts w:ascii="Times New Roman" w:cs="Times New Roman" w:eastAsia="Times New Roman" w:hAnsi="Times New Roman"/>
          <w:sz w:val="14"/>
          <w:szCs w:val="14"/>
          <w:color w:val="auto"/>
        </w:rPr>
      </w:pPr>
    </w:p>
    <w:p>
      <w:pPr>
        <w:jc w:val="both"/>
        <w:ind w:left="260" w:hanging="254"/>
        <w:spacing w:after="0" w:line="262" w:lineRule="auto"/>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terms of the Series A Preferred Stock, the shares are subject to a beneficial ownership limitation (the “Beneficial Ownership Limitation”) of 4.99% (or upon election of Kips, by providing a 61-day written notice to Mobix Labs, 9.99%), which such limitation restricts the stockholder from converting that portion of the Series A Preferred Stock that would result in the stockholder and its affiliates owning, after conversion, a number of shares of Class A Common Stock in excess of the beneficial ownership limitation. The number of shares in this column reflects the Beneficial Ownership Limitation.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color w:val="auto"/>
        </w:rPr>
        <w:t>CERTAIN RELATIONSHIPS AND RELATED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Related Party Transactions Policy</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Board has adopted a written related party transactions policy that requires that related party transactions (as defined below) be reviewed and, if appropriate, approved by the Board’s audit committee, subject to certain exceptions. Our related party transactions policy is designed to minimize potential conflicts of interest arising from any dealings we may have with our affiliates and to provide appropriate procedures for the disclosure of any real or potential conflicts of interest that may exist from time to time.</w:t>
      </w:r>
    </w:p>
    <w:p>
      <w:pPr>
        <w:spacing w:after="0" w:line="13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A “related party transaction” is a transaction, arrangement or relationship in which the Company or any of its subsidiaries was, is or will be a participant, the amount of which involved exceeds $120,000, and in which any related party had, has or will have a direct or indirect material interest. A “related party” means:</w:t>
      </w:r>
    </w:p>
    <w:p>
      <w:pPr>
        <w:spacing w:after="0" w:line="123" w:lineRule="exact"/>
        <w:rPr>
          <w:sz w:val="20"/>
          <w:szCs w:val="20"/>
          <w:color w:val="auto"/>
        </w:rPr>
      </w:pPr>
    </w:p>
    <w:p>
      <w:pPr>
        <w:ind w:left="1040" w:hanging="517"/>
        <w:spacing w:after="0"/>
        <w:tabs>
          <w:tab w:leader="none" w:pos="10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is, or at any time during the applicable period was, one of the Company’s executive officers or one of the Company’s directors;</w:t>
      </w:r>
    </w:p>
    <w:p>
      <w:pPr>
        <w:spacing w:after="0" w:line="183"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who is known by the Company to be the beneficial owner of more than 5% of the Company’s voting securities; and</w:t>
      </w:r>
    </w:p>
    <w:p>
      <w:pPr>
        <w:spacing w:after="0" w:line="183" w:lineRule="exact"/>
        <w:rPr>
          <w:rFonts w:ascii="Times New Roman" w:cs="Times New Roman" w:eastAsia="Times New Roman" w:hAnsi="Times New Roman"/>
          <w:sz w:val="14"/>
          <w:szCs w:val="14"/>
          <w:color w:val="auto"/>
        </w:rPr>
      </w:pPr>
    </w:p>
    <w:p>
      <w:pPr>
        <w:jc w:val="both"/>
        <w:ind w:left="1040" w:hanging="517"/>
        <w:spacing w:after="0" w:line="275" w:lineRule="auto"/>
        <w:tabs>
          <w:tab w:leader="none" w:pos="10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the Company’s voting securities, and any person (other than a domestic employee) sharing the household of such director, executive officer or beneficial owner of more than 5% of the Company’s voting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Mobix Labs entered into indemnification agreements with each of its directors and executive officers. The indemnification agreements provide that Mobix Labs will indemnify each of its directors and executive officers against any and all expenses incurred by that director or executive officer because of his or her status as a director or officer of Mobix Labs, to the fullest extent permitted by Delaware law, the Charter and the Bylaws.</w:t>
      </w:r>
    </w:p>
    <w:p>
      <w:pPr>
        <w:spacing w:after="0" w:line="13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The Charter of Mobix Labs contains a provision limiting the liability of directors and certain officers of Mobix Labs for monetary damages for breach of fiduciary duty, and the Bylaws provide that Mobix Labs will indemnify each of its present and former directors and officers in those capacities or for serving other business enterprises at its request, to the fullest extent permitted under Delaware law. In addition, the Bylaws provide that, to the fullest extent permitted by Delaware law, Mobix Labs will advance all expenses incurred by its present and former directors and officers in connection with a legal proceeding involving his or her status as a director or officer of Mobix Labs, except that present directors or officers shall undertake to repay such advances if it is ultimately determined that such person is not entitled to indemnification.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 of Loans</w:t>
      </w:r>
    </w:p>
    <w:p>
      <w:pPr>
        <w:spacing w:after="0" w:line="187"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October 19, 2023, Legacy Mobix borrowed $150,000 from an unrelated finance company, which loan is secured by substantially all assets of Legacy Mobix and is guaranteed by Keyvan Samini, the President, Chief Financial Officer and a director of Mobix Labs. The loan matured in November 2024 and was repaid in full.</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December 2, 2024, a subsidiary of Mobix borrowed $200,000 from an unrelated finance company, which loan is guaranteed by Keyvan Samini, the President, Chief Financial Officer and a director of Mobix Labs. The loan matured in June 2026.</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Additionally, on August 15, 2025, Philip Sansone, our Chief Executive Officer and director, and Keyvan Samini, the President, Chief Financial Officer and a director, both personally guaranteed the Maxim loan to us with a principal amount of $600,000.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Subscription Agreement</w:t>
      </w:r>
    </w:p>
    <w:p>
      <w:pPr>
        <w:spacing w:after="0" w:line="187"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On December 19, 2023, Chavant entered into a subscription agreement with Michael Long, who was appointed as a director of Mobix Labs on January 22, 2024, pursuant to which Mr. Long agreed to purchase, in a private placement that closed substantially concurrently with the Closing, 30,000 shares of Class A Common Stock at a price of $100.00 per share for an aggregate purchase price of $3,000,000, on the terms and subject to the conditions set forth in the subscription agreement. Mobix Labs registered for resale the shares received by Mr. Long pursuant to the subscription agreement and upon exercise of the warrant. Pursuant to the subscription agreement, Mobix Labs agreed to issue additional shares of Class A Common Stock to Mr. Long in the event that the Adjustment Period VWAP during the Adjustment Period is less than $100.00 per share. In such case, Mr. Long was entitled to receive a number of shares of Make-Whole Shares equal to the product of (x) the number of shares of Class A Common Stock issued to him at the closing of the subscription and held by him through the end of the Adjustment Period multiplied by (y) a fraction, (A) the numerator of which is $100.00 minus the Adjustment Period VWAP and (B) the denominator of which is the Adjustment Period VWAP. In the event that the Adjustment Period VWAP is less than $70.00, the Adjustment Period VWAP will be deemed to be $70.00. On November 4, 2024, Mr. Long received 12,857 Make-Whole Shares.</w:t>
      </w:r>
    </w:p>
    <w:p>
      <w:pPr>
        <w:spacing w:after="0" w:line="149"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In connection with the execution of the subscription agreement, Legacy Mobix issued to Mr. Long a warrant to purchase 10,000 shares of Mobix Labs Stock at an exercise price of $0.10 per share, exercisable upon the closing of the subscription agreement. The warrant was exercised at the closing of the subscription agreement and, following net settlement into 9,990 shares of Mobix Labs Stock, converted into 9,990 shares of Class A Common Stock in connection with the Closing.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Pre-Merger Related Party Transactions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w:t>
      </w:r>
    </w:p>
    <w:p>
      <w:pPr>
        <w:spacing w:after="0" w:line="18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In connection with the Closing and as contemplated by the Business Combination Agreement, the Company and certain holders entered into the Amended and Restated Registration Rights and Lock-Up Agreement, dated December 21, 2023 (the “Amended and Restated Registration Rights and Lock-Up Agreement”), pursuant to which, among other things, the Company is obligated to file a registration statement to register the resale of certain securities of Mobix Labs held by certain holders, including all the members of the Board other than Michael Long, and to use reasonable best efforts to cause the registration statement to become effective as soon as reasonably practical after the initial filing of the registration statement. This registration statement was filed on June 6, 2024. The Amended and Restated Registration Rights and Lock-Up Agreement also provides certain holders with “piggy-back” registration rights, subject to certain requirements and customary conditions.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3" w:right="319" w:bottom="1440" w:gutter="0" w:footer="0" w:header="0"/>
        </w:sectPr>
      </w:pPr>
    </w:p>
    <w:bookmarkStart w:id="91" w:name="page92"/>
    <w:bookmarkEnd w:id="91"/>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Subject to certain exceptions, the Amended and Restated Registration Rights and Lock-Up Agreement further provides the Founder Equityholders and Legacy Mobix Holders shall not transfer their Common Stock until (a) with respect to 50% of such shares, for a period ending on the earlier of the one-year anniversary of the Closing and the date on which the VWAP of the Class A Common Stock equals or exceeds $120.00 per share (as adjusted for stock splits, stock capitalizations, reorganizations, recapitalizations and the like) for any 20 trading days within a 30-trading day period following the Closing or (b) with respect to the remaining 50% of such shares, for a period ending on the earlier of the one-year anniversary of the Closing and the date on which the VWAP of the Class A Common Stock equals or exceeds $150.00 per share (as adjusted for stock splits, stock capitalizations, reorganizations, recapitalizations and the like) for any 20 trading days within a 30-trading day period following the Closing. The restriction on transfers contained in the Amended and Restated Registration Rights and Lock-Up Agreement expired on December 23, 2024.</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Sage Hill PIPE Subscription Agreement and Sage Hill Warrant</w:t>
      </w:r>
    </w:p>
    <w:p>
      <w:pPr>
        <w:spacing w:after="0" w:line="187"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On December 18, 2023, Chavant entered into a subscription agreement with Sage Hill Investors, LLC (“Sage Hill”) (the “Sage Hill PIPE Subscription Agreement”), pursuant to which Sage Hill agreed to purchase, in a private placement that closed substantially concurrently with the Closing, 150,000 shares of Class A Common Stock in cash at a price of $100.00 per share for an aggregate purchase price of $15,000,000, on the terms and subject to the conditions set forth in the Sage Hill PIPE Subscription Agreement. Pursuant to the Sage Hill Subscription Agreement, Chavant agreed to issue additional shares of Class A Common Stock to Sage Hill in the event that the volume weighted average price per share of the Class A Common Stock during the 30-day period (the “Adjustment Period”) commencing on the date that is 30 days after the date on which the resale registration statement was declared effective (the “Adjustment Period VWAP”) is less than $100.00 per share. In such case, Sage Hill will be entitled to receive a number of shares of Class A Common Stock equal to the product of (x) the number of shares of Class A Common Stock issued to Sage Hill at the closing of the subscription and held by Sage Hill through the end of the Adjustment Period multiplied by (y) a fraction, (A) the numerator of which is $100.00 minus the Adjustment Period VWAP and (B) the denominator of which is the Adjustment Period VWAP (the “Make-Whole Shares”). Such condition was satisfied on August 30, 2024 and 64,285 Make-Whole Shares were delivered on November 4, 2024.</w:t>
      </w:r>
    </w:p>
    <w:p>
      <w:pPr>
        <w:spacing w:after="0" w:line="14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In connection with the execution of the Sage Hill PIPE Subscription Agreement, Mobix Labs issued to Sage Hill a warrant to purchase 150,000 shares of Mobix Labs Stock at an exercise price of $0.10 per share, exercisable upon the closing of the Sage Hill PIPE Subscription Agreement and stockholder approval (the “Sage Hill Warrant”). Stockholders approved the exercise of the Sage Hill Warrant at the special meeting held on January 3, 2025 and was exercised on February 25,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Sponsor PIPE Subscription Agreement, Sponsor Warrant and Sponsor Letter Agreement</w:t>
      </w:r>
    </w:p>
    <w:p>
      <w:pPr>
        <w:spacing w:after="0" w:line="187"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On December 19, 2023, Chavant entered into the subscription agreement (the “Sponsor PIPE Subscription Agreement”) with the Sponsor pursuant to which the Sponsor agreed to purchase, in a private placement that closed substantially concurrently with the Closing, 19,973 shares of Class A Common Stock at a price of $100.00 per share for an aggregate purchase price of $1,997,370 paid through the forgiveness of the Forgiven Chavant Obligations (as defined below), on the terms and subject to the conditions set forth in the Sponsor PIPE Subscription Agreement and the Sponsor Letter Agreement described below. Pursuant to the Sponsor PIPE Subscription Agreement, Chavant agreed to issue additional shares of Class A Common Stock to the Sponsor or its permitted transferees in the event that the Adjustment Period VWAP during the Adjustment Period is less than $100.00 per share. In such case, the Sponsor or its permitted transferees will be entitled to receive a number of shares of Class A Common Stock equal to the product of (x) the number of shares of Class A Common Stock issued to the Sponsor at the closing of the subscription and held by the Sponsor or its permitted transferees through the end of the Adjustment Period multiplied by (y) a fraction, (A) the numerator of which is $100.00 minus the Adjustment Period VWAP and (B) the denominator of which is the Adjustment Period VWAP (the “Make-Whole Shares”). Such condition was satisfied on August 30, 2024 and 1,294 Make-Whole Shares were delivered on November 4, 2024.</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 Amendments</w:t>
      </w:r>
    </w:p>
    <w:p>
      <w:pPr>
        <w:spacing w:after="0" w:line="187"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On October 24, 2025, the Company entered into amendments to certain outstanding warrants to purchase an aggregate of 1,337,549 shares of the Company’s Class A Common Stock held by the Master Fund (the “Armistice Warrants”). The amendments revise certain terms of the Armistice Warrants so that, under applicable accounting guidance, the Armistice Warrants are classified as equity rather than liabilities on the Company’s balance sheet. As part of these amendments, the Company issued an additional warrant to purchase 100,000 shares of Class A Common Stock. No cash consideration was paid or received in connection with these amendments.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5" w:lineRule="exact"/>
        <w:rPr>
          <w:sz w:val="20"/>
          <w:szCs w:val="20"/>
          <w:color w:val="auto"/>
        </w:rPr>
      </w:pPr>
    </w:p>
    <w:p>
      <w:pPr>
        <w:jc w:val="both"/>
        <w:ind w:firstLine="517"/>
        <w:spacing w:after="0" w:line="267" w:lineRule="auto"/>
        <w:rPr>
          <w:sz w:val="20"/>
          <w:szCs w:val="20"/>
          <w:color w:val="auto"/>
        </w:rPr>
      </w:pPr>
      <w:r>
        <w:rPr>
          <w:rFonts w:ascii="Times New Roman" w:cs="Times New Roman" w:eastAsia="Times New Roman" w:hAnsi="Times New Roman"/>
          <w:sz w:val="14"/>
          <w:szCs w:val="14"/>
          <w:color w:val="auto"/>
        </w:rPr>
        <w:t>The Selling Stockholder,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Selling Stockholder may use any one or more of the following methods when disposing of shares or interests therein:</w:t>
      </w:r>
    </w:p>
    <w:p>
      <w:pPr>
        <w:spacing w:after="0" w:line="183" w:lineRule="exact"/>
        <w:rPr>
          <w:sz w:val="20"/>
          <w:szCs w:val="20"/>
          <w:color w:val="auto"/>
        </w:rPr>
      </w:pPr>
    </w:p>
    <w:p>
      <w:pPr>
        <w:ind w:left="520" w:hanging="256"/>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to members, partners, stockholders or other equity holders of the Selling Stockholder;</w:t>
      </w:r>
    </w:p>
    <w:p>
      <w:pPr>
        <w:spacing w:after="0" w:line="2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as agent, but may position and resell a portion of the block as principal to facilitate the transaction;</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Selling Stockholder to sell a specified number of such shares at a stipulated price per share;</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and</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70"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The Selling Stockholder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 also may transfer the shares of common stock in other circumstances, in which case the transferees, pledgees or other successors in interest will be the Selling Stockholder for purposes of this prospectus.</w:t>
      </w:r>
    </w:p>
    <w:p>
      <w:pPr>
        <w:spacing w:after="0" w:line="14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aggregate proceeds to the Selling Stockholder from the sale of the common stock offered by them will be the purchase price of the common stock less discounts or commissions, if any. The Selling Stockholder reserve the right to accept and, together with their agents from time to time, to reject, in whole or in part, any proposed purchase of common stock to be made directly or through agents. We will not receive any of the proceeds from this offering.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93" w:name="page94"/>
    <w:bookmarkEnd w:id="93"/>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Selling Stockholder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The Selling Stockholder and any underwriters, broker-dealers or agents that participate in the sale of the common stock or interests therein may be “underwriters” within the meaning of Section 2(a)(11) of the Securities Act (it being understood that the Selling Stockholder shall not be deemed to be underwriters solely as a result of their participation in this offering). Any discounts, commissions, concessions or profit they earn on any resale of the shares may be underwriting discounts and commissions under the Securities Act. The Selling Stockholder may be deemed an “underwriter” within the meaning of Section 2(a)(11) of the Securities Act and, if so deemed, will be subject to the prospectus delivery requirements of the Securities Act.</w:t>
      </w:r>
    </w:p>
    <w:p>
      <w:pPr>
        <w:spacing w:after="0" w:line="142"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To the extent required, the shares of our common stock to be sold, the names of the Selling Stockholder,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3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35"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We have advised the Selling Stockholder that the anti-manipulation rules of Regulation M under the Exchange Act may apply to sales of shares in the market and to the activities of the Selling Stockholder and their affiliates. In addition, to the extent applicable, we will make copies of this prospectus (as it may be supplemented or amended from time to time) available to the Selling Stockholder for the purpose of satisfying the prospectus delivery requirements of the Securities Act. The Selling Stockholder may indemnify any broker-dealer that participates in transactions involving the sale of the shares against certain liabilities, including liabilities arising under the Securities Act. We have agreed to indemnify the Selling Stockholder against liabilities, including liabilities under the Securities Act and state securities laws, relating to the registration of the shares offered by this prospectus.</w:t>
      </w:r>
    </w:p>
    <w:p>
      <w:pPr>
        <w:spacing w:after="0" w:line="144"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We have agreed with the Selling Stockholder to use commercially reasonable efforts to cause the registration statement of which this prospectus constitutes a part to become effective and to remain continuously effective until the earlier of: (i) the date on which the Selling Stockholder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 without registration and without regard to any volume or manner-of-sale limitations and without the requirement for the Company to be in compliance with the current public information requirement under Rule 144 under the Securities Act or any other rule of similar effect.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Greenberg Traurig, P.A. has passed upon the validity of the Class A Common Stock offered by this prospectus and certain other legal matters related to this prospectus.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The financial statements as of September 30, 2025 and September 30, 2024 and for each of the two years in the period ended September 30, 2025 included in this prospectus have been so included in reliance on the report (which contains an explanatory paragraph relating to Mobix Labs, Inc.’s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S-1 (including any amendments and supplements thereto) under the Securities Act with respect to the shares of Class A Common Stock offered hereby. This prospectus does not contain all of the information set forth in the registration statement and the exhibits and schedules thereto. For further information with respect to the Company, the Class A Common Stock, reference is made to the registration statement and the exhibits and any schedules filed therewith.</w:t>
      </w:r>
    </w:p>
    <w:p>
      <w:pPr>
        <w:spacing w:after="0" w:line="13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w:t>
      </w:r>
    </w:p>
    <w:p>
      <w:pPr>
        <w:spacing w:after="0" w:line="121" w:lineRule="exact"/>
        <w:rPr>
          <w:sz w:val="20"/>
          <w:szCs w:val="20"/>
          <w:color w:val="auto"/>
        </w:rPr>
      </w:pPr>
    </w:p>
    <w:p>
      <w:pPr>
        <w:jc w:val="both"/>
        <w:ind w:firstLine="517"/>
        <w:spacing w:after="0" w:line="296" w:lineRule="auto"/>
        <w:rPr>
          <w:sz w:val="20"/>
          <w:szCs w:val="20"/>
          <w:color w:val="auto"/>
        </w:rPr>
      </w:pPr>
      <w:r>
        <w:rPr>
          <w:rFonts w:ascii="Times New Roman" w:cs="Times New Roman" w:eastAsia="Times New Roman" w:hAnsi="Times New Roman"/>
          <w:sz w:val="14"/>
          <w:szCs w:val="14"/>
          <w:color w:val="auto"/>
        </w:rPr>
        <w:t xml:space="preserve">The SEC maintains a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from which interested persons can electronically access the registration statement, including the exhibits and any schedules thereto and which contains the periodic reports, proxy and information statements and other information that we file electronically with the SEC.</w:t>
      </w:r>
    </w:p>
    <w:p>
      <w:pPr>
        <w:spacing w:after="0" w:line="121"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 xml:space="preserve">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w:t>
      </w:r>
      <w:r>
        <w:rPr>
          <w:rFonts w:ascii="Times New Roman" w:cs="Times New Roman" w:eastAsia="Times New Roman" w:hAnsi="Times New Roman"/>
          <w:sz w:val="14"/>
          <w:szCs w:val="14"/>
          <w:i w:val="1"/>
          <w:iCs w:val="1"/>
          <w:color w:val="auto"/>
        </w:rPr>
        <w:t>https://www.investors.mobixlabs.com</w:t>
      </w:r>
      <w:r>
        <w:rPr>
          <w:rFonts w:ascii="Times New Roman" w:cs="Times New Roman" w:eastAsia="Times New Roman" w:hAnsi="Times New Roman"/>
          <w:sz w:val="14"/>
          <w:szCs w:val="14"/>
          <w:color w:val="auto"/>
        </w:rPr>
        <w:t>,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8"/>
        </w:trPr>
        <w:tc>
          <w:tcPr>
            <w:tcW w:w="2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80" w:type="dxa"/>
            <w:vAlign w:val="bottom"/>
            <w:gridSpan w:val="8"/>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tc>
        <w:tc>
          <w:tcPr>
            <w:tcW w:w="520" w:type="dxa"/>
            <w:vAlign w:val="bottom"/>
          </w:tcPr>
          <w:p>
            <w:pPr>
              <w:spacing w:after="0"/>
              <w:rPr>
                <w:sz w:val="16"/>
                <w:szCs w:val="16"/>
                <w:color w:val="auto"/>
              </w:rPr>
            </w:pPr>
          </w:p>
        </w:tc>
      </w:tr>
      <w:tr>
        <w:trPr>
          <w:trHeight w:val="344"/>
        </w:trPr>
        <w:tc>
          <w:tcPr>
            <w:tcW w:w="25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4"/>
        </w:trPr>
        <w:tc>
          <w:tcPr>
            <w:tcW w:w="107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INTERIM UNAUDITED FINANCIAL STATEMENTS</w:t>
            </w:r>
          </w:p>
        </w:tc>
        <w:tc>
          <w:tcPr>
            <w:tcW w:w="520" w:type="dxa"/>
            <w:vAlign w:val="bottom"/>
            <w:shd w:val="clear" w:color="auto" w:fill="CCEEFF"/>
          </w:tcPr>
          <w:p>
            <w:pPr>
              <w:spacing w:after="0"/>
              <w:rPr>
                <w:sz w:val="14"/>
                <w:szCs w:val="14"/>
                <w:color w:val="auto"/>
              </w:rPr>
            </w:pPr>
          </w:p>
        </w:tc>
      </w:tr>
      <w:tr>
        <w:trPr>
          <w:trHeight w:val="140"/>
        </w:trPr>
        <w:tc>
          <w:tcPr>
            <w:tcW w:w="5620" w:type="dxa"/>
            <w:vAlign w:val="bottom"/>
            <w:tcBorders>
              <w:bottom w:val="single" w:sz="8" w:color="0000EE"/>
            </w:tcBorders>
            <w:gridSpan w:val="6"/>
          </w:tcPr>
          <w:p>
            <w:pPr>
              <w:spacing w:after="0" w:line="140" w:lineRule="exact"/>
              <w:rPr>
                <w:sz w:val="20"/>
                <w:szCs w:val="20"/>
                <w:color w:val="auto"/>
              </w:rPr>
            </w:pPr>
            <w:r>
              <w:rPr>
                <w:rFonts w:ascii="Times New Roman" w:cs="Times New Roman" w:eastAsia="Times New Roman" w:hAnsi="Times New Roman"/>
                <w:sz w:val="14"/>
                <w:szCs w:val="14"/>
                <w:color w:val="0000EE"/>
              </w:rPr>
              <w:t>Condensed Consolidated Balance Sheets as of June 30, 2026 and September 30, 2025 (unaudited)</w:t>
            </w:r>
          </w:p>
        </w:tc>
        <w:tc>
          <w:tcPr>
            <w:tcW w:w="5140" w:type="dxa"/>
            <w:vAlign w:val="bottom"/>
            <w:gridSpan w:val="6"/>
          </w:tcPr>
          <w:p>
            <w:pPr>
              <w:spacing w:after="0"/>
              <w:rPr>
                <w:sz w:val="12"/>
                <w:szCs w:val="12"/>
                <w:color w:val="auto"/>
              </w:rPr>
            </w:pPr>
          </w:p>
        </w:tc>
        <w:tc>
          <w:tcPr>
            <w:tcW w:w="5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F-2</w:t>
            </w:r>
          </w:p>
        </w:tc>
      </w:tr>
      <w:tr>
        <w:trPr>
          <w:trHeight w:val="164"/>
        </w:trPr>
        <w:tc>
          <w:tcPr>
            <w:tcW w:w="10760" w:type="dxa"/>
            <w:vAlign w:val="bottom"/>
            <w:gridSpan w:val="1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Condensed Consolidated Statements of Operations and Comprehensive Loss for the three months and nine months ended June 30, 2026 and 2025 (unaudited)</w:t>
            </w:r>
          </w:p>
        </w:tc>
        <w:tc>
          <w:tcPr>
            <w:tcW w:w="52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rPr>
              <w:t>F-3</w:t>
            </w:r>
          </w:p>
        </w:tc>
      </w:tr>
      <w:tr>
        <w:trPr>
          <w:trHeight w:val="140"/>
        </w:trPr>
        <w:tc>
          <w:tcPr>
            <w:tcW w:w="8700" w:type="dxa"/>
            <w:vAlign w:val="bottom"/>
            <w:tcBorders>
              <w:top w:val="single" w:sz="8" w:color="0000EE"/>
              <w:bottom w:val="single" w:sz="8" w:color="0000EE"/>
            </w:tcBorders>
            <w:gridSpan w:val="9"/>
          </w:tcPr>
          <w:p>
            <w:pPr>
              <w:spacing w:after="0" w:line="140" w:lineRule="exact"/>
              <w:rPr>
                <w:sz w:val="20"/>
                <w:szCs w:val="20"/>
                <w:color w:val="auto"/>
              </w:rPr>
            </w:pPr>
            <w:r>
              <w:rPr>
                <w:rFonts w:ascii="Times New Roman" w:cs="Times New Roman" w:eastAsia="Times New Roman" w:hAnsi="Times New Roman"/>
                <w:sz w:val="14"/>
                <w:szCs w:val="14"/>
                <w:color w:val="0000EE"/>
              </w:rPr>
              <w:t>Condensed Consolidated Statements of Stockholders’ Equity (Deficit) for the three months and nine months ended June 30, 2026 and 2025 (unaudited)</w:t>
            </w:r>
          </w:p>
        </w:tc>
        <w:tc>
          <w:tcPr>
            <w:tcW w:w="360" w:type="dxa"/>
            <w:vAlign w:val="bottom"/>
            <w:tcBorders>
              <w:top w:val="single" w:sz="8" w:color="0000EE"/>
            </w:tcBorders>
            <w:gridSpan w:val="2"/>
          </w:tcPr>
          <w:p>
            <w:pPr>
              <w:spacing w:after="0"/>
              <w:rPr>
                <w:sz w:val="12"/>
                <w:szCs w:val="12"/>
                <w:color w:val="auto"/>
              </w:rPr>
            </w:pPr>
          </w:p>
        </w:tc>
        <w:tc>
          <w:tcPr>
            <w:tcW w:w="170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rPr>
              <w:t>F-4</w:t>
            </w:r>
          </w:p>
        </w:tc>
      </w:tr>
      <w:tr>
        <w:trPr>
          <w:trHeight w:val="164"/>
        </w:trPr>
        <w:tc>
          <w:tcPr>
            <w:tcW w:w="6600" w:type="dxa"/>
            <w:vAlign w:val="bottom"/>
            <w:tcBorders>
              <w:bottom w:val="single" w:sz="8" w:color="0000EE"/>
            </w:tcBorders>
            <w:gridSpan w:val="7"/>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Condensed Consolidated Statements of Cash Flows for the nine months ended June 30, 2026 and 2025 (unaudited)</w:t>
            </w:r>
          </w:p>
        </w:tc>
        <w:tc>
          <w:tcPr>
            <w:tcW w:w="4160" w:type="dxa"/>
            <w:vAlign w:val="bottom"/>
            <w:tcBorders>
              <w:bottom w:val="single" w:sz="8" w:color="CCEEFF"/>
            </w:tcBorders>
            <w:gridSpan w:val="5"/>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rPr>
              <w:t>F-5</w:t>
            </w:r>
          </w:p>
        </w:tc>
      </w:tr>
      <w:tr>
        <w:trPr>
          <w:trHeight w:val="140"/>
        </w:trPr>
        <w:tc>
          <w:tcPr>
            <w:tcW w:w="10760" w:type="dxa"/>
            <w:vAlign w:val="bottom"/>
            <w:gridSpan w:val="12"/>
          </w:tcPr>
          <w:p>
            <w:pPr>
              <w:spacing w:after="0" w:line="140" w:lineRule="exact"/>
              <w:rPr>
                <w:sz w:val="20"/>
                <w:szCs w:val="20"/>
                <w:color w:val="auto"/>
              </w:rPr>
            </w:pPr>
            <w:r>
              <w:rPr>
                <w:rFonts w:ascii="Times New Roman" w:cs="Times New Roman" w:eastAsia="Times New Roman" w:hAnsi="Times New Roman"/>
                <w:sz w:val="14"/>
                <w:szCs w:val="14"/>
                <w:color w:val="0000EE"/>
              </w:rPr>
              <w:t>Notes to Condensed Consolidated Financial Statements (unaudited)</w:t>
            </w:r>
          </w:p>
        </w:tc>
        <w:tc>
          <w:tcPr>
            <w:tcW w:w="5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F-6</w:t>
            </w:r>
          </w:p>
        </w:tc>
      </w:tr>
      <w:tr>
        <w:trPr>
          <w:trHeight w:val="184"/>
        </w:trPr>
        <w:tc>
          <w:tcPr>
            <w:tcW w:w="3880" w:type="dxa"/>
            <w:vAlign w:val="bottom"/>
            <w:tcBorders>
              <w:top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AUDITED CONSOLIDATED FINANCIAL STATEMENTS</w:t>
            </w:r>
          </w:p>
        </w:tc>
        <w:tc>
          <w:tcPr>
            <w:tcW w:w="6880" w:type="dxa"/>
            <w:vAlign w:val="bottom"/>
            <w:gridSpan w:val="8"/>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40"/>
        </w:trPr>
        <w:tc>
          <w:tcPr>
            <w:tcW w:w="10760" w:type="dxa"/>
            <w:vAlign w:val="bottom"/>
            <w:gridSpan w:val="12"/>
          </w:tcPr>
          <w:p>
            <w:pPr>
              <w:spacing w:after="0" w:line="140" w:lineRule="exact"/>
              <w:rPr>
                <w:sz w:val="20"/>
                <w:szCs w:val="20"/>
                <w:color w:val="auto"/>
              </w:rPr>
            </w:pPr>
            <w:r>
              <w:rPr>
                <w:rFonts w:ascii="Times New Roman" w:cs="Times New Roman" w:eastAsia="Times New Roman" w:hAnsi="Times New Roman"/>
                <w:sz w:val="14"/>
                <w:szCs w:val="14"/>
                <w:color w:val="0000EE"/>
              </w:rPr>
              <w:t xml:space="preserve">Report of Independent Registered Public Accounting Firm </w:t>
            </w:r>
            <w:r>
              <w:rPr>
                <w:rFonts w:ascii="Times New Roman" w:cs="Times New Roman" w:eastAsia="Times New Roman" w:hAnsi="Times New Roman"/>
                <w:sz w:val="14"/>
                <w:szCs w:val="14"/>
                <w:color w:val="000000"/>
              </w:rPr>
              <w:t>— PCAOB ID: 238</w:t>
            </w:r>
          </w:p>
        </w:tc>
        <w:tc>
          <w:tcPr>
            <w:tcW w:w="5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F-24</w:t>
            </w:r>
          </w:p>
        </w:tc>
      </w:tr>
      <w:tr>
        <w:trPr>
          <w:trHeight w:val="20"/>
        </w:trPr>
        <w:tc>
          <w:tcPr>
            <w:tcW w:w="25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64"/>
        </w:trPr>
        <w:tc>
          <w:tcPr>
            <w:tcW w:w="3740" w:type="dxa"/>
            <w:vAlign w:val="bottom"/>
            <w:tcBorders>
              <w:bottom w:val="single" w:sz="8" w:color="0000EE"/>
            </w:tcBorders>
            <w:gridSpan w:val="3"/>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Consolidated Balance Sheets as of September 30, 2025 and 2024</w:t>
            </w:r>
          </w:p>
        </w:tc>
        <w:tc>
          <w:tcPr>
            <w:tcW w:w="7020" w:type="dxa"/>
            <w:vAlign w:val="bottom"/>
            <w:tcBorders>
              <w:bottom w:val="single" w:sz="8" w:color="CCEEFF"/>
            </w:tcBorders>
            <w:gridSpan w:val="9"/>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rPr>
              <w:t>F-25</w:t>
            </w:r>
          </w:p>
        </w:tc>
      </w:tr>
      <w:tr>
        <w:trPr>
          <w:trHeight w:val="140"/>
        </w:trPr>
        <w:tc>
          <w:tcPr>
            <w:tcW w:w="6620" w:type="dxa"/>
            <w:vAlign w:val="bottom"/>
            <w:tcBorders>
              <w:bottom w:val="single" w:sz="8" w:color="0000EE"/>
            </w:tcBorders>
            <w:gridSpan w:val="8"/>
          </w:tcPr>
          <w:p>
            <w:pPr>
              <w:spacing w:after="0" w:line="140" w:lineRule="exact"/>
              <w:rPr>
                <w:sz w:val="20"/>
                <w:szCs w:val="20"/>
                <w:color w:val="auto"/>
              </w:rPr>
            </w:pPr>
            <w:r>
              <w:rPr>
                <w:rFonts w:ascii="Times New Roman" w:cs="Times New Roman" w:eastAsia="Times New Roman" w:hAnsi="Times New Roman"/>
                <w:sz w:val="14"/>
                <w:szCs w:val="14"/>
                <w:color w:val="0000EE"/>
              </w:rPr>
              <w:t>Consolidated Statements of Operations and Comprehensive Loss for the years ended September 30, 2025 and 2024</w:t>
            </w:r>
          </w:p>
        </w:tc>
        <w:tc>
          <w:tcPr>
            <w:tcW w:w="4140" w:type="dxa"/>
            <w:vAlign w:val="bottom"/>
            <w:gridSpan w:val="4"/>
          </w:tcPr>
          <w:p>
            <w:pPr>
              <w:spacing w:after="0"/>
              <w:rPr>
                <w:sz w:val="12"/>
                <w:szCs w:val="12"/>
                <w:color w:val="auto"/>
              </w:rPr>
            </w:pPr>
          </w:p>
        </w:tc>
        <w:tc>
          <w:tcPr>
            <w:tcW w:w="5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F-26</w:t>
            </w:r>
          </w:p>
        </w:tc>
      </w:tr>
      <w:tr>
        <w:trPr>
          <w:trHeight w:val="164"/>
        </w:trPr>
        <w:tc>
          <w:tcPr>
            <w:tcW w:w="8880" w:type="dxa"/>
            <w:vAlign w:val="bottom"/>
            <w:tcBorders>
              <w:bottom w:val="single" w:sz="8" w:color="0000EE"/>
            </w:tcBorders>
            <w:gridSpan w:val="10"/>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Consolidated Statements of Redeemable Convertible Preferred Stock and Stockholders’ Equity (Deficit) for the years ended September 30, 2025 and 2024</w:t>
            </w:r>
          </w:p>
        </w:tc>
        <w:tc>
          <w:tcPr>
            <w:tcW w:w="1880" w:type="dxa"/>
            <w:vAlign w:val="bottom"/>
            <w:tcBorders>
              <w:bottom w:val="single" w:sz="8" w:color="CCEEFF"/>
            </w:tcBorders>
            <w:gridSpan w:val="2"/>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rPr>
              <w:t>F-27</w:t>
            </w:r>
          </w:p>
        </w:tc>
      </w:tr>
      <w:tr>
        <w:trPr>
          <w:trHeight w:val="140"/>
        </w:trPr>
        <w:tc>
          <w:tcPr>
            <w:tcW w:w="5180" w:type="dxa"/>
            <w:vAlign w:val="bottom"/>
            <w:tcBorders>
              <w:bottom w:val="single" w:sz="8" w:color="0000EE"/>
            </w:tcBorders>
            <w:gridSpan w:val="5"/>
          </w:tcPr>
          <w:p>
            <w:pPr>
              <w:spacing w:after="0" w:line="140" w:lineRule="exact"/>
              <w:rPr>
                <w:sz w:val="20"/>
                <w:szCs w:val="20"/>
                <w:color w:val="auto"/>
              </w:rPr>
            </w:pPr>
            <w:r>
              <w:rPr>
                <w:rFonts w:ascii="Times New Roman" w:cs="Times New Roman" w:eastAsia="Times New Roman" w:hAnsi="Times New Roman"/>
                <w:sz w:val="14"/>
                <w:szCs w:val="14"/>
                <w:color w:val="0000EE"/>
              </w:rPr>
              <w:t>Consolidated Statements of Cash Flows for the years ended September 30, 2025 and 2024</w:t>
            </w:r>
          </w:p>
        </w:tc>
        <w:tc>
          <w:tcPr>
            <w:tcW w:w="5580" w:type="dxa"/>
            <w:vAlign w:val="bottom"/>
            <w:gridSpan w:val="7"/>
          </w:tcPr>
          <w:p>
            <w:pPr>
              <w:spacing w:after="0"/>
              <w:rPr>
                <w:sz w:val="12"/>
                <w:szCs w:val="12"/>
                <w:color w:val="auto"/>
              </w:rPr>
            </w:pPr>
          </w:p>
        </w:tc>
        <w:tc>
          <w:tcPr>
            <w:tcW w:w="52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F-28</w:t>
            </w:r>
          </w:p>
        </w:tc>
      </w:tr>
      <w:tr>
        <w:trPr>
          <w:trHeight w:val="164"/>
        </w:trPr>
        <w:tc>
          <w:tcPr>
            <w:tcW w:w="10760" w:type="dxa"/>
            <w:vAlign w:val="bottom"/>
            <w:gridSpan w:val="12"/>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0000EE"/>
              </w:rPr>
              <w:t>Notes to Consolidated Financial Statements</w:t>
            </w:r>
          </w:p>
        </w:tc>
        <w:tc>
          <w:tcPr>
            <w:tcW w:w="52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rPr>
              <w:t>F-29</w:t>
            </w:r>
          </w:p>
        </w:tc>
      </w:tr>
      <w:tr>
        <w:trPr>
          <w:trHeight w:val="344"/>
        </w:trPr>
        <w:tc>
          <w:tcPr>
            <w:tcW w:w="252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5580" w:type="dxa"/>
            <w:vAlign w:val="bottom"/>
            <w:tcBorders>
              <w:top w:val="single" w:sz="8" w:color="CCEEFF"/>
              <w:bottom w:val="single" w:sz="8" w:color="auto"/>
            </w:tcBorders>
            <w:gridSpan w:val="7"/>
          </w:tcPr>
          <w:p>
            <w:pPr>
              <w:jc w:val="center"/>
              <w:ind w:right="4660"/>
              <w:spacing w:after="0"/>
              <w:rPr>
                <w:sz w:val="20"/>
                <w:szCs w:val="20"/>
                <w:color w:val="auto"/>
              </w:rPr>
            </w:pPr>
            <w:r>
              <w:rPr>
                <w:rFonts w:ascii="Times New Roman" w:cs="Times New Roman" w:eastAsia="Times New Roman" w:hAnsi="Times New Roman"/>
                <w:sz w:val="14"/>
                <w:szCs w:val="14"/>
                <w:color w:val="auto"/>
              </w:rPr>
              <w:t>F-1</w:t>
            </w:r>
          </w:p>
        </w:tc>
        <w:tc>
          <w:tcPr>
            <w:tcW w:w="5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80"/>
          </w:cols>
          <w:pgMar w:left="300" w:top="575" w:right="3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0" w:type="dxa"/>
            <w:vAlign w:val="bottom"/>
            <w:tcBorders>
              <w:top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1580" w:type="dxa"/>
            <w:vAlign w:val="bottom"/>
            <w:gridSpan w:val="2"/>
            <w:shd w:val="clear" w:color="auto" w:fill="CCEEFF"/>
          </w:tcPr>
          <w:p>
            <w:pPr>
              <w:jc w:val="right"/>
              <w:ind w:right="12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3,273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760</w:t>
            </w:r>
          </w:p>
        </w:tc>
        <w:tc>
          <w:tcPr>
            <w:tcW w:w="220" w:type="dxa"/>
            <w:vAlign w:val="bottom"/>
          </w:tcPr>
          <w:p>
            <w:pPr>
              <w:spacing w:after="0"/>
              <w:rPr>
                <w:sz w:val="14"/>
                <w:szCs w:val="14"/>
                <w:color w:val="auto"/>
              </w:rPr>
            </w:pPr>
          </w:p>
        </w:tc>
        <w:tc>
          <w:tcPr>
            <w:tcW w:w="18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1,414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Inventory</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1,435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6,030</w:t>
            </w: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6,715</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208</w:t>
            </w:r>
          </w:p>
        </w:tc>
        <w:tc>
          <w:tcPr>
            <w:tcW w:w="2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12,324</w:t>
            </w:r>
          </w:p>
        </w:tc>
        <w:tc>
          <w:tcPr>
            <w:tcW w:w="220" w:type="dxa"/>
            <w:vAlign w:val="bottom"/>
          </w:tcPr>
          <w:p>
            <w:pPr>
              <w:spacing w:after="0"/>
              <w:rPr>
                <w:sz w:val="14"/>
                <w:szCs w:val="14"/>
                <w:color w:val="auto"/>
              </w:rPr>
            </w:pPr>
          </w:p>
        </w:tc>
        <w:tc>
          <w:tcPr>
            <w:tcW w:w="18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13,519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16,066</w:t>
            </w:r>
          </w:p>
        </w:tc>
        <w:tc>
          <w:tcPr>
            <w:tcW w:w="2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16,066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159</w:t>
            </w:r>
          </w:p>
        </w:tc>
        <w:tc>
          <w:tcPr>
            <w:tcW w:w="220" w:type="dxa"/>
            <w:vAlign w:val="bottom"/>
          </w:tcPr>
          <w:p>
            <w:pPr>
              <w:spacing w:after="0"/>
              <w:rPr>
                <w:sz w:val="14"/>
                <w:szCs w:val="14"/>
                <w:color w:val="auto"/>
              </w:rPr>
            </w:pPr>
          </w:p>
        </w:tc>
        <w:tc>
          <w:tcPr>
            <w:tcW w:w="18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147</w:t>
            </w: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12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34,934</w:t>
            </w:r>
          </w:p>
        </w:tc>
        <w:tc>
          <w:tcPr>
            <w:tcW w:w="3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LIABILITIES, PREFERRED STOCK AND STOCKHOLDERS’ EQUITY (DEFICIT)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1580" w:type="dxa"/>
            <w:vAlign w:val="bottom"/>
            <w:gridSpan w:val="2"/>
          </w:tcPr>
          <w:p>
            <w:pPr>
              <w:jc w:val="right"/>
              <w:ind w:right="12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5,032</w:t>
            </w:r>
          </w:p>
        </w:tc>
        <w:tc>
          <w:tcPr>
            <w:tcW w:w="3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8,981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9,114</w:t>
            </w:r>
          </w:p>
        </w:tc>
        <w:tc>
          <w:tcPr>
            <w:tcW w:w="2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11,122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purchase consideration</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2,093</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2,323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payable, current</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995</w:t>
            </w:r>
          </w:p>
        </w:tc>
        <w:tc>
          <w:tcPr>
            <w:tcW w:w="2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3,934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Notes payable – related parties, current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1,152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payable – measured at fair value, current</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156</w:t>
            </w:r>
          </w:p>
        </w:tc>
        <w:tc>
          <w:tcPr>
            <w:tcW w:w="220" w:type="dxa"/>
            <w:vAlign w:val="bottom"/>
          </w:tcPr>
          <w:p>
            <w:pPr>
              <w:spacing w:after="0"/>
              <w:rPr>
                <w:sz w:val="15"/>
                <w:szCs w:val="15"/>
                <w:color w:val="auto"/>
              </w:rPr>
            </w:pPr>
          </w:p>
        </w:tc>
        <w:tc>
          <w:tcPr>
            <w:tcW w:w="18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22,147</w:t>
            </w: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27,786</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 related parties, noncurrent</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1,099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Earnout liability</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280</w:t>
            </w:r>
          </w:p>
        </w:tc>
        <w:tc>
          <w:tcPr>
            <w:tcW w:w="220" w:type="dxa"/>
            <w:vAlign w:val="bottom"/>
          </w:tcPr>
          <w:p>
            <w:pPr>
              <w:spacing w:after="0"/>
              <w:rPr>
                <w:sz w:val="14"/>
                <w:szCs w:val="14"/>
                <w:color w:val="auto"/>
              </w:rPr>
            </w:pPr>
          </w:p>
        </w:tc>
        <w:tc>
          <w:tcPr>
            <w:tcW w:w="18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1,240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liability</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299</w:t>
            </w:r>
          </w:p>
        </w:tc>
        <w:tc>
          <w:tcPr>
            <w:tcW w:w="2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4"/>
                <w:szCs w:val="14"/>
                <w:color w:val="auto"/>
              </w:rPr>
            </w:pPr>
          </w:p>
        </w:tc>
        <w:tc>
          <w:tcPr>
            <w:tcW w:w="18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Liability-classified warrants</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6,859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935</w:t>
            </w:r>
          </w:p>
        </w:tc>
        <w:tc>
          <w:tcPr>
            <w:tcW w:w="220" w:type="dxa"/>
            <w:vAlign w:val="bottom"/>
          </w:tcPr>
          <w:p>
            <w:pPr>
              <w:spacing w:after="0"/>
              <w:rPr>
                <w:sz w:val="15"/>
                <w:szCs w:val="15"/>
                <w:color w:val="auto"/>
              </w:rPr>
            </w:pPr>
          </w:p>
        </w:tc>
        <w:tc>
          <w:tcPr>
            <w:tcW w:w="18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26,711</w:t>
            </w: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37,449</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9)</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68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Preferred Stock, $0.00001 par value, of which 20,000 shares have been designated as Series A 10% Convertible</w:t>
            </w: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 2,000 and no shares issued and outstanding at June 30, 2026 and September 30, 2025, respectively</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0" w:type="dxa"/>
            <w:vAlign w:val="bottom"/>
          </w:tcPr>
          <w:p>
            <w:pPr>
              <w:ind w:left="120"/>
              <w:spacing w:after="0" w:line="157" w:lineRule="exact"/>
              <w:rPr>
                <w:sz w:val="20"/>
                <w:szCs w:val="20"/>
                <w:color w:val="auto"/>
              </w:rPr>
            </w:pPr>
            <w:r>
              <w:rPr>
                <w:rFonts w:ascii="Times New Roman" w:cs="Times New Roman" w:eastAsia="Times New Roman" w:hAnsi="Times New Roman"/>
                <w:sz w:val="14"/>
                <w:szCs w:val="14"/>
                <w:color w:val="auto"/>
              </w:rPr>
              <w:t>Class A Common Stock, $0.00001 par value, 285,000,000 shares authorized; 15,001,187 and 5,883,842 shares</w:t>
            </w: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issued and outstanding at June 30, 2026 and September 30, 2025, respectively</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8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Class B Common Stock, $0.00001 par value, 5,000,000 shares authorized; 200,491 shares issued and outstanding</w:t>
            </w: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at June 30, 2026 and September 30, 2025</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189,609</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150,252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(183,361)</w:t>
            </w: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(150,588)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180" w:type="dxa"/>
            <w:vAlign w:val="bottom"/>
            <w:tcBorders>
              <w:bottom w:val="single" w:sz="8" w:color="CCEEFF"/>
            </w:tcBorders>
          </w:tcPr>
          <w:p>
            <w:pPr>
              <w:spacing w:after="0"/>
              <w:rPr>
                <w:sz w:val="14"/>
                <w:szCs w:val="14"/>
                <w:color w:val="auto"/>
              </w:rPr>
            </w:pPr>
          </w:p>
        </w:tc>
        <w:tc>
          <w:tcPr>
            <w:tcW w:w="14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6,248</w:t>
            </w:r>
          </w:p>
        </w:tc>
        <w:tc>
          <w:tcPr>
            <w:tcW w:w="3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preferred stock and stockholders’ equity (deficit)</w:t>
            </w:r>
          </w:p>
        </w:tc>
        <w:tc>
          <w:tcPr>
            <w:tcW w:w="1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124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34,934</w:t>
            </w:r>
          </w:p>
        </w:tc>
        <w:tc>
          <w:tcPr>
            <w:tcW w:w="3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37,113</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COMPREHENSIVE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00" w:type="dxa"/>
            <w:vAlign w:val="bottom"/>
            <w:gridSpan w:val="6"/>
          </w:tcPr>
          <w:p>
            <w:pPr>
              <w:jc w:val="right"/>
              <w:ind w:right="105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3020" w:type="dxa"/>
            <w:vAlign w:val="bottom"/>
            <w:gridSpan w:val="6"/>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5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529</w:t>
            </w:r>
          </w:p>
        </w:tc>
        <w:tc>
          <w:tcPr>
            <w:tcW w:w="500" w:type="dxa"/>
            <w:vAlign w:val="bottom"/>
            <w:gridSpan w:val="2"/>
          </w:tcPr>
          <w:p>
            <w:pPr>
              <w:jc w:val="right"/>
              <w:ind w:right="224"/>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1,503</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180" w:type="dxa"/>
            <w:vAlign w:val="bottom"/>
          </w:tcPr>
          <w:p>
            <w:pPr>
              <w:spacing w:after="0"/>
              <w:rPr>
                <w:sz w:val="14"/>
                <w:szCs w:val="14"/>
                <w:color w:val="auto"/>
              </w:rPr>
            </w:pPr>
          </w:p>
        </w:tc>
        <w:tc>
          <w:tcPr>
            <w:tcW w:w="4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4,911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260</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4"/>
                <w:szCs w:val="14"/>
                <w:color w:val="auto"/>
              </w:rPr>
              <w:t>847</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3,119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net revenue</w:t>
            </w:r>
          </w:p>
        </w:tc>
        <w:tc>
          <w:tcPr>
            <w:tcW w:w="1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3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528</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655</w:t>
            </w: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2,912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159</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4"/>
                <w:szCs w:val="14"/>
                <w:color w:val="auto"/>
              </w:rPr>
              <w:t>346</w:t>
            </w:r>
          </w:p>
        </w:tc>
        <w:tc>
          <w:tcPr>
            <w:tcW w:w="3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834</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cost of revenue</w:t>
            </w:r>
          </w:p>
        </w:tc>
        <w:tc>
          <w:tcPr>
            <w:tcW w:w="18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34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411</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486</w:t>
            </w: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1,816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7,045</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4"/>
                <w:szCs w:val="14"/>
                <w:color w:val="auto"/>
              </w:rPr>
              <w:t>8,208</w:t>
            </w:r>
          </w:p>
        </w:tc>
        <w:tc>
          <w:tcPr>
            <w:tcW w:w="3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21,864</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32,043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725</w:t>
            </w:r>
          </w:p>
        </w:tc>
        <w:tc>
          <w:tcPr>
            <w:tcW w:w="320" w:type="dxa"/>
            <w:vAlign w:val="bottom"/>
          </w:tcPr>
          <w:p>
            <w:pPr>
              <w:spacing w:after="0"/>
              <w:rPr>
                <w:sz w:val="15"/>
                <w:szCs w:val="15"/>
                <w:color w:val="auto"/>
              </w:rPr>
            </w:pP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(7,354)</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(8,070)</w:t>
            </w:r>
          </w:p>
        </w:tc>
        <w:tc>
          <w:tcPr>
            <w:tcW w:w="3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(22,278)</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(30,528)</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868</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4"/>
                <w:szCs w:val="14"/>
                <w:color w:val="auto"/>
              </w:rPr>
              <w:t>547</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1,032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color w:val="auto"/>
              </w:rPr>
              <w:t>(210)</w:t>
            </w:r>
          </w:p>
        </w:tc>
        <w:tc>
          <w:tcPr>
            <w:tcW w:w="320" w:type="dxa"/>
            <w:vAlign w:val="bottom"/>
          </w:tcPr>
          <w:p>
            <w:pPr>
              <w:spacing w:after="0"/>
              <w:rPr>
                <w:sz w:val="14"/>
                <w:szCs w:val="14"/>
                <w:color w:val="auto"/>
              </w:rPr>
            </w:pPr>
          </w:p>
        </w:tc>
        <w:tc>
          <w:tcPr>
            <w:tcW w:w="13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(960)</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(108)</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4"/>
                <w:szCs w:val="14"/>
                <w:color w:val="auto"/>
              </w:rPr>
              <w:t>(612)</w:t>
            </w:r>
          </w:p>
        </w:tc>
        <w:tc>
          <w:tcPr>
            <w:tcW w:w="3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320</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(1,237)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notes payable</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issuance of preferred shares and liability-classified warrants</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3,707</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9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Financing costs expensed</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600</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color w:val="auto"/>
              </w:rPr>
              <w:t>443</w:t>
            </w:r>
          </w:p>
        </w:tc>
        <w:tc>
          <w:tcPr>
            <w:tcW w:w="320" w:type="dxa"/>
            <w:vAlign w:val="bottom"/>
          </w:tcPr>
          <w:p>
            <w:pPr>
              <w:spacing w:after="0"/>
              <w:rPr>
                <w:sz w:val="14"/>
                <w:szCs w:val="14"/>
                <w:color w:val="auto"/>
              </w:rPr>
            </w:pP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600</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extinguishment of notes payable</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3,791</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Other non-operating (gains) losses, net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553</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(1,036)</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1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(16,792)</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(8,274)</w:t>
            </w:r>
          </w:p>
        </w:tc>
        <w:tc>
          <w:tcPr>
            <w:tcW w:w="3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(32,791)</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(30,411)</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Pr>
          <w:p>
            <w:pPr>
              <w:spacing w:after="0"/>
              <w:rPr>
                <w:sz w:val="15"/>
                <w:szCs w:val="15"/>
                <w:color w:val="auto"/>
              </w:rPr>
            </w:pPr>
          </w:p>
        </w:tc>
        <w:tc>
          <w:tcPr>
            <w:tcW w:w="13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(16,795</w:t>
            </w:r>
          </w:p>
        </w:tc>
        <w:tc>
          <w:tcPr>
            <w:tcW w:w="180" w:type="dxa"/>
            <w:vAlign w:val="bottom"/>
            <w:tcBorders>
              <w:top w:val="single" w:sz="8" w:color="CCEEFF"/>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(8,272</w:t>
            </w:r>
          </w:p>
        </w:tc>
        <w:tc>
          <w:tcPr>
            <w:tcW w:w="340" w:type="dxa"/>
            <w:vAlign w:val="bottom"/>
            <w:tcBorders>
              <w:top w:val="single" w:sz="8" w:color="CCEEFF"/>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(32,773</w:t>
            </w:r>
          </w:p>
        </w:tc>
        <w:tc>
          <w:tcPr>
            <w:tcW w:w="180" w:type="dxa"/>
            <w:vAlign w:val="bottom"/>
            <w:tcBorders>
              <w:top w:val="single" w:sz="8" w:color="CCEEFF"/>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(30,402</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per share of Class A and Class B Common Stock:</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5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(1.33)</w:t>
            </w:r>
          </w:p>
        </w:tc>
        <w:tc>
          <w:tcPr>
            <w:tcW w:w="500" w:type="dxa"/>
            <w:vAlign w:val="bottom"/>
            <w:gridSpan w:val="2"/>
          </w:tcPr>
          <w:p>
            <w:pPr>
              <w:jc w:val="right"/>
              <w:ind w:right="224"/>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color w:val="auto"/>
              </w:rPr>
              <w:t>(1.70)</w:t>
            </w:r>
          </w:p>
        </w:tc>
        <w:tc>
          <w:tcPr>
            <w:tcW w:w="320" w:type="dxa"/>
            <w:vAlign w:val="bottom"/>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(3.39)</w:t>
            </w:r>
          </w:p>
        </w:tc>
        <w:tc>
          <w:tcPr>
            <w:tcW w:w="4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100" w:type="dxa"/>
            <w:vAlign w:val="bottom"/>
            <w:tcBorders>
              <w:top w:val="single" w:sz="8" w:color="CCEEFF"/>
              <w:bottom w:val="single" w:sz="8" w:color="CCEEFF"/>
            </w:tcBorders>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Diluted</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188"/>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(1.33</w:t>
            </w:r>
          </w:p>
        </w:tc>
        <w:tc>
          <w:tcPr>
            <w:tcW w:w="180" w:type="dxa"/>
            <w:vAlign w:val="bottom"/>
            <w:tcBorders>
              <w:top w:val="single" w:sz="8" w:color="CCEEFF"/>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(1.70</w:t>
            </w:r>
          </w:p>
        </w:tc>
        <w:tc>
          <w:tcPr>
            <w:tcW w:w="340" w:type="dxa"/>
            <w:vAlign w:val="bottom"/>
            <w:tcBorders>
              <w:top w:val="single" w:sz="8" w:color="CCEEFF"/>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(3.39</w:t>
            </w:r>
          </w:p>
        </w:tc>
        <w:tc>
          <w:tcPr>
            <w:tcW w:w="180" w:type="dxa"/>
            <w:vAlign w:val="bottom"/>
            <w:tcBorders>
              <w:top w:val="single" w:sz="8" w:color="CCEEFF"/>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168"/>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(7.16</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12,640,059</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4,878,530</w:t>
            </w: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9,683,935</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4,247,441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12,640,059</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4,878,530</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9,683,935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4,247,441</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PREFERRED STOCK AND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960" w:type="dxa"/>
            <w:vAlign w:val="bottom"/>
            <w:tcBorders>
              <w:right w:val="single" w:sz="8" w:color="auto"/>
            </w:tcBorders>
            <w:gridSpan w:val="6"/>
            <w:vMerge w:val="restart"/>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Pr>
          <w:p>
            <w:pPr>
              <w:spacing w:after="0"/>
              <w:rPr>
                <w:sz w:val="11"/>
                <w:szCs w:val="11"/>
                <w:color w:val="auto"/>
              </w:rPr>
            </w:pPr>
          </w:p>
        </w:tc>
        <w:tc>
          <w:tcPr>
            <w:tcW w:w="1160" w:type="dxa"/>
            <w:vAlign w:val="bottom"/>
            <w:gridSpan w:val="4"/>
          </w:tcPr>
          <w:p>
            <w:pPr>
              <w:jc w:val="center"/>
              <w:ind w:left="623"/>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gridSpan w:val="4"/>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6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0" w:type="dxa"/>
            <w:vAlign w:val="bottom"/>
          </w:tcPr>
          <w:p>
            <w:pPr>
              <w:spacing w:after="0"/>
              <w:rPr>
                <w:sz w:val="11"/>
                <w:szCs w:val="11"/>
                <w:color w:val="auto"/>
              </w:rPr>
            </w:pPr>
          </w:p>
        </w:tc>
        <w:tc>
          <w:tcPr>
            <w:tcW w:w="86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960" w:type="dxa"/>
            <w:vAlign w:val="bottom"/>
            <w:tcBorders>
              <w:right w:val="single" w:sz="8" w:color="auto"/>
            </w:tcBorders>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6"/>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700" w:type="dxa"/>
            <w:vAlign w:val="bottom"/>
            <w:gridSpan w:val="4"/>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920" w:type="dxa"/>
            <w:vAlign w:val="bottom"/>
            <w:tcBorders>
              <w:top w:val="single" w:sz="8" w:color="auto"/>
            </w:tcBorders>
            <w:gridSpan w:val="2"/>
          </w:tcPr>
          <w:p>
            <w:pPr>
              <w:ind w:left="220"/>
              <w:spacing w:after="0" w:line="120"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43"/>
              <w:spacing w:after="0" w:line="120" w:lineRule="exact"/>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2"/>
          </w:tcPr>
          <w:p>
            <w:pPr>
              <w:ind w:left="240"/>
              <w:spacing w:after="0" w:line="120"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43"/>
              <w:spacing w:after="0" w:line="120"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360"/>
              <w:spacing w:after="0" w:line="120"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43"/>
              <w:spacing w:after="0" w:line="120"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320"/>
              <w:spacing w:after="0" w:line="120" w:lineRule="exact"/>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0"/>
                <w:szCs w:val="10"/>
                <w:color w:val="auto"/>
              </w:rPr>
            </w:pPr>
          </w:p>
        </w:tc>
        <w:tc>
          <w:tcPr>
            <w:tcW w:w="94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1"/>
                <w:szCs w:val="11"/>
                <w:b w:val="1"/>
                <w:bCs w:val="1"/>
                <w:color w:val="auto"/>
              </w:rPr>
              <w:t>Deficit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240"/>
              <w:spacing w:after="0" w:line="120" w:lineRule="exact"/>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26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Balance at September 30, 2025</w:t>
            </w:r>
          </w:p>
        </w:tc>
        <w:tc>
          <w:tcPr>
            <w:tcW w:w="8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23"/>
              <w:spacing w:after="0" w:line="11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top w:val="single" w:sz="8" w:color="CCEEFF"/>
              <w:right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5,883,842</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3"/>
              <w:spacing w:after="0" w:line="11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200,491</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150,252</w:t>
            </w:r>
          </w:p>
        </w:tc>
        <w:tc>
          <w:tcPr>
            <w:tcW w:w="2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(150,588)</w:t>
            </w:r>
          </w:p>
        </w:tc>
        <w:tc>
          <w:tcPr>
            <w:tcW w:w="2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(336)</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2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22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Issuance of common stock</w:t>
            </w:r>
          </w:p>
        </w:tc>
        <w:tc>
          <w:tcPr>
            <w:tcW w:w="9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226,450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1,523</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1,523</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in settlement of</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119,085</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985</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985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liabilities</w:t>
            </w: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Issuance of common stock on vesting of RSUs</w:t>
            </w:r>
          </w:p>
        </w:tc>
        <w:tc>
          <w:tcPr>
            <w:tcW w:w="9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403,595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on exercise of</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32,353</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55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stock options</w:t>
            </w: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Reclassification of warrants</w:t>
            </w:r>
          </w:p>
        </w:tc>
        <w:tc>
          <w:tcPr>
            <w:tcW w:w="9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6,912</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6,912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Issuance of warrants in consideration for</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514</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modification</w:t>
            </w: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w:t>
            </w:r>
          </w:p>
        </w:tc>
        <w:tc>
          <w:tcPr>
            <w:tcW w:w="9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5,139</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5,139</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(10,125)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(10,125)</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2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right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2260" w:type="dxa"/>
            <w:vAlign w:val="bottom"/>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Balance at December 31, 2025</w:t>
            </w: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6,665,325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200,491</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165,380</w:t>
            </w:r>
          </w:p>
        </w:tc>
        <w:tc>
          <w:tcPr>
            <w:tcW w:w="6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(160,713)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4,667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2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226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Issuance of common stock</w:t>
            </w: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30,000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in connection with</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426,878</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debt</w:t>
            </w:r>
          </w:p>
        </w:tc>
        <w:tc>
          <w:tcPr>
            <w:tcW w:w="9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in settlement of</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2,219</w:t>
            </w:r>
          </w:p>
        </w:tc>
        <w:tc>
          <w:tcPr>
            <w:tcW w:w="6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2,219</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liabilities</w:t>
            </w: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in connection with</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3,000,000</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5,360</w:t>
            </w:r>
          </w:p>
        </w:tc>
        <w:tc>
          <w:tcPr>
            <w:tcW w:w="6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5,360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public offering</w:t>
            </w:r>
          </w:p>
        </w:tc>
        <w:tc>
          <w:tcPr>
            <w:tcW w:w="9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Issuance of common stock on vesting of RSUs</w:t>
            </w: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233,322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w:t>
            </w:r>
          </w:p>
        </w:tc>
        <w:tc>
          <w:tcPr>
            <w:tcW w:w="9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2,452</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2,452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(5,853)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(5,853)</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2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right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2260" w:type="dxa"/>
            <w:vAlign w:val="bottom"/>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Balance at March 31, 2026</w:t>
            </w: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10,355,525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200,491</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175,411</w:t>
            </w:r>
          </w:p>
        </w:tc>
        <w:tc>
          <w:tcPr>
            <w:tcW w:w="6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(166,566)</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8,845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2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226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Issuance of common stock on vesting of RSUs</w:t>
            </w: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200,918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for amendment of</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464,952</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1,121</w:t>
            </w:r>
          </w:p>
        </w:tc>
        <w:tc>
          <w:tcPr>
            <w:tcW w:w="6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1,121</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RaGE earnout</w:t>
            </w:r>
          </w:p>
        </w:tc>
        <w:tc>
          <w:tcPr>
            <w:tcW w:w="9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Issuance of Common Stock for services</w:t>
            </w: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3,000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in settlement of</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3,976,792</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10,120</w:t>
            </w:r>
          </w:p>
        </w:tc>
        <w:tc>
          <w:tcPr>
            <w:tcW w:w="6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10,120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liabilities</w:t>
            </w:r>
          </w:p>
        </w:tc>
        <w:tc>
          <w:tcPr>
            <w:tcW w:w="9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Issuance of preferred stock</w:t>
            </w: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2,000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Borders>
              <w:right w:val="single" w:sz="8" w:color="auto"/>
            </w:tcBorders>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1,975</w:t>
            </w:r>
          </w:p>
        </w:tc>
        <w:tc>
          <w:tcPr>
            <w:tcW w:w="100" w:type="dxa"/>
            <w:vAlign w:val="bottom"/>
          </w:tcPr>
          <w:p>
            <w:pPr>
              <w:spacing w:after="0"/>
              <w:rPr>
                <w:sz w:val="10"/>
                <w:szCs w:val="10"/>
                <w:color w:val="auto"/>
              </w:rPr>
            </w:pP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Issuance of extension shares in consideration</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600</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for modification</w:t>
            </w:r>
          </w:p>
        </w:tc>
        <w:tc>
          <w:tcPr>
            <w:tcW w:w="9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w:t>
            </w: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2,350</w:t>
            </w:r>
          </w:p>
        </w:tc>
        <w:tc>
          <w:tcPr>
            <w:tcW w:w="6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2,350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(16,795)</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(16,795)</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26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Balance at June 30, 2026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1,975</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15,001,187</w:t>
            </w:r>
          </w:p>
        </w:tc>
        <w:tc>
          <w:tcPr>
            <w:tcW w:w="2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200,491</w:t>
            </w:r>
          </w:p>
        </w:tc>
        <w:tc>
          <w:tcPr>
            <w:tcW w:w="760" w:type="dxa"/>
            <w:vAlign w:val="bottom"/>
            <w:gridSpan w:val="2"/>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189,609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gridSpan w:val="2"/>
            <w:shd w:val="clear" w:color="auto" w:fill="CCEEFF"/>
          </w:tcPr>
          <w:p>
            <w:pPr>
              <w:jc w:val="right"/>
              <w:ind w:right="140"/>
              <w:spacing w:after="0" w:line="140" w:lineRule="exact"/>
              <w:rPr>
                <w:sz w:val="20"/>
                <w:szCs w:val="20"/>
                <w:color w:val="auto"/>
              </w:rPr>
            </w:pPr>
            <w:r>
              <w:rPr>
                <w:rFonts w:ascii="Times New Roman" w:cs="Times New Roman" w:eastAsia="Times New Roman" w:hAnsi="Times New Roman"/>
                <w:sz w:val="9"/>
                <w:szCs w:val="9"/>
                <w:b w:val="1"/>
                <w:bCs w:val="1"/>
                <w:color w:val="auto"/>
              </w:rPr>
              <w:t>(183,361</w:t>
            </w:r>
            <w:r>
              <w:rPr>
                <w:rFonts w:ascii="Times New Roman" w:cs="Times New Roman" w:eastAsia="Times New Roman" w:hAnsi="Times New Roman"/>
                <w:sz w:val="16"/>
                <w:szCs w:val="16"/>
                <w:b w:val="1"/>
                <w:bCs w:val="1"/>
                <w:color w:val="auto"/>
                <w:vertAlign w:val="superscript"/>
              </w:rPr>
              <w:t>)</w:t>
            </w:r>
          </w:p>
        </w:tc>
        <w:tc>
          <w:tcPr>
            <w:tcW w:w="12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6,248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960" w:type="dxa"/>
            <w:vAlign w:val="bottom"/>
            <w:tcBorders>
              <w:right w:val="single" w:sz="8" w:color="auto"/>
            </w:tcBorders>
            <w:gridSpan w:val="6"/>
            <w:vMerge w:val="restart"/>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Pr>
          <w:p>
            <w:pPr>
              <w:spacing w:after="0"/>
              <w:rPr>
                <w:sz w:val="11"/>
                <w:szCs w:val="11"/>
                <w:color w:val="auto"/>
              </w:rPr>
            </w:pPr>
          </w:p>
        </w:tc>
        <w:tc>
          <w:tcPr>
            <w:tcW w:w="1160" w:type="dxa"/>
            <w:vAlign w:val="bottom"/>
            <w:gridSpan w:val="4"/>
          </w:tcPr>
          <w:p>
            <w:pPr>
              <w:jc w:val="center"/>
              <w:ind w:left="623"/>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gridSpan w:val="4"/>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6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0" w:type="dxa"/>
            <w:vAlign w:val="bottom"/>
          </w:tcPr>
          <w:p>
            <w:pPr>
              <w:spacing w:after="0"/>
              <w:rPr>
                <w:sz w:val="11"/>
                <w:szCs w:val="11"/>
                <w:color w:val="auto"/>
              </w:rPr>
            </w:pPr>
          </w:p>
        </w:tc>
        <w:tc>
          <w:tcPr>
            <w:tcW w:w="86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960" w:type="dxa"/>
            <w:vAlign w:val="bottom"/>
            <w:tcBorders>
              <w:right w:val="single" w:sz="8" w:color="auto"/>
            </w:tcBorders>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6"/>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700" w:type="dxa"/>
            <w:vAlign w:val="bottom"/>
            <w:gridSpan w:val="4"/>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920" w:type="dxa"/>
            <w:vAlign w:val="bottom"/>
            <w:tcBorders>
              <w:top w:val="single" w:sz="8" w:color="auto"/>
            </w:tcBorders>
            <w:gridSpan w:val="2"/>
          </w:tcPr>
          <w:p>
            <w:pPr>
              <w:ind w:left="220"/>
              <w:spacing w:after="0" w:line="120"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43"/>
              <w:spacing w:after="0" w:line="120" w:lineRule="exact"/>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2"/>
          </w:tcPr>
          <w:p>
            <w:pPr>
              <w:ind w:left="240"/>
              <w:spacing w:after="0" w:line="120"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143"/>
              <w:spacing w:after="0" w:line="120"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360"/>
              <w:spacing w:after="0" w:line="120"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43"/>
              <w:spacing w:after="0" w:line="120" w:lineRule="exact"/>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320"/>
              <w:spacing w:after="0" w:line="120" w:lineRule="exact"/>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0"/>
                <w:szCs w:val="10"/>
                <w:color w:val="auto"/>
              </w:rPr>
            </w:pPr>
          </w:p>
        </w:tc>
        <w:tc>
          <w:tcPr>
            <w:tcW w:w="94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1"/>
                <w:szCs w:val="11"/>
                <w:b w:val="1"/>
                <w:bCs w:val="1"/>
                <w:color w:val="auto"/>
              </w:rPr>
              <w:t>Deficit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240"/>
              <w:spacing w:after="0" w:line="120" w:lineRule="exact"/>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260" w:type="dxa"/>
            <w:vAlign w:val="bottom"/>
            <w:tcBorders>
              <w:top w:val="single" w:sz="8" w:color="CCEEFF"/>
            </w:tcBorders>
            <w:shd w:val="clear" w:color="auto" w:fill="CCEEFF"/>
          </w:tcPr>
          <w:p>
            <w:pPr>
              <w:spacing w:after="0" w:line="110" w:lineRule="exact"/>
              <w:rPr>
                <w:sz w:val="20"/>
                <w:szCs w:val="20"/>
                <w:color w:val="auto"/>
              </w:rPr>
            </w:pPr>
            <w:r>
              <w:rPr>
                <w:rFonts w:ascii="Times New Roman" w:cs="Times New Roman" w:eastAsia="Times New Roman" w:hAnsi="Times New Roman"/>
                <w:sz w:val="11"/>
                <w:szCs w:val="11"/>
                <w:b w:val="1"/>
                <w:bCs w:val="1"/>
                <w:color w:val="auto"/>
              </w:rPr>
              <w:t>Balance at September 30, 2024</w:t>
            </w:r>
          </w:p>
        </w:tc>
        <w:tc>
          <w:tcPr>
            <w:tcW w:w="8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23"/>
              <w:spacing w:after="0" w:line="11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top w:val="single" w:sz="8" w:color="CCEEFF"/>
              <w:right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3,282,423</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3"/>
              <w:spacing w:after="0" w:line="11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212,991</w:t>
            </w: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109,987</w:t>
            </w:r>
          </w:p>
        </w:tc>
        <w:tc>
          <w:tcPr>
            <w:tcW w:w="2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(104,457)</w:t>
            </w:r>
          </w:p>
        </w:tc>
        <w:tc>
          <w:tcPr>
            <w:tcW w:w="2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b w:val="1"/>
                <w:bCs w:val="1"/>
                <w:color w:val="auto"/>
              </w:rPr>
              <w:t>5,530</w:t>
            </w: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2260" w:type="dxa"/>
            <w:vAlign w:val="bottom"/>
          </w:tcPr>
          <w:p>
            <w:pPr>
              <w:spacing w:after="0"/>
              <w:rPr>
                <w:sz w:val="10"/>
                <w:szCs w:val="10"/>
                <w:color w:val="auto"/>
              </w:rPr>
            </w:pPr>
          </w:p>
        </w:tc>
        <w:tc>
          <w:tcPr>
            <w:tcW w:w="92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22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Issuance of common stock</w:t>
            </w:r>
          </w:p>
        </w:tc>
        <w:tc>
          <w:tcPr>
            <w:tcW w:w="9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56,174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640</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640</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Conversion of Class B Common Stock to</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12,500</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9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(12,500)</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Class A Common Stock</w:t>
            </w: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Conversion of notes payable to Class A</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63,180</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828</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828</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Stock</w:t>
            </w:r>
          </w:p>
        </w:tc>
        <w:tc>
          <w:tcPr>
            <w:tcW w:w="9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upon vesting of</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51,000</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RSUs</w:t>
            </w: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w:t>
            </w:r>
          </w:p>
        </w:tc>
        <w:tc>
          <w:tcPr>
            <w:tcW w:w="9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9,802</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9,802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1"/>
                <w:szCs w:val="11"/>
                <w:color w:val="auto"/>
              </w:rPr>
              <w:t>Net loss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(19,839)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(19,839)</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2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right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2260" w:type="dxa"/>
            <w:vAlign w:val="bottom"/>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3,465,277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200,491</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121,257</w:t>
            </w:r>
          </w:p>
        </w:tc>
        <w:tc>
          <w:tcPr>
            <w:tcW w:w="6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(124,296)</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(3,039)</w:t>
            </w: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22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2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in settlement of</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61,059</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553</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553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liabilities</w:t>
            </w: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for amendment of</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56,310</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1,752</w:t>
            </w:r>
          </w:p>
        </w:tc>
        <w:tc>
          <w:tcPr>
            <w:tcW w:w="6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1,752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RaGE earnout</w:t>
            </w:r>
          </w:p>
        </w:tc>
        <w:tc>
          <w:tcPr>
            <w:tcW w:w="9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Issuance of common stock on vesting of RSUs</w:t>
            </w: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1,000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upon exercise of</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174,819</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warrants</w:t>
            </w:r>
          </w:p>
        </w:tc>
        <w:tc>
          <w:tcPr>
            <w:tcW w:w="9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w:t>
            </w: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3,352</w:t>
            </w:r>
          </w:p>
        </w:tc>
        <w:tc>
          <w:tcPr>
            <w:tcW w:w="6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3,352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(2,291)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(2,291)</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226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22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Balance at March 31, 2025</w:t>
            </w:r>
          </w:p>
        </w:tc>
        <w:tc>
          <w:tcPr>
            <w:tcW w:w="9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b w:val="1"/>
                <w:bCs w:val="1"/>
                <w:color w:val="auto"/>
              </w:rPr>
              <w:t>3,758,465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200,491</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220"/>
              <w:spacing w:after="0" w:line="119"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b w:val="1"/>
                <w:bCs w:val="1"/>
                <w:color w:val="auto"/>
              </w:rPr>
              <w:t>126,929</w:t>
            </w:r>
          </w:p>
        </w:tc>
        <w:tc>
          <w:tcPr>
            <w:tcW w:w="6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b w:val="1"/>
                <w:bCs w:val="1"/>
                <w:color w:val="auto"/>
              </w:rPr>
              <w:t>(126,587)</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0"/>
              <w:spacing w:after="0" w:line="119" w:lineRule="exact"/>
              <w:rPr>
                <w:sz w:val="20"/>
                <w:szCs w:val="20"/>
                <w:color w:val="auto"/>
              </w:rPr>
            </w:pPr>
            <w:r>
              <w:rPr>
                <w:rFonts w:ascii="Times New Roman" w:cs="Times New Roman" w:eastAsia="Times New Roman" w:hAnsi="Times New Roman"/>
                <w:sz w:val="11"/>
                <w:szCs w:val="11"/>
                <w:b w:val="1"/>
                <w:bCs w:val="1"/>
                <w:color w:val="auto"/>
              </w:rPr>
              <w:t>342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2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2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Issuance of Class A common stock and</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385,000</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342</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warrants in private placement</w:t>
            </w:r>
          </w:p>
        </w:tc>
        <w:tc>
          <w:tcPr>
            <w:tcW w:w="9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Issuance of Class A common stock in</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16,688</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133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settlement of liabilities</w:t>
            </w: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Issuance of Class A common stock for RaGE</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7,971</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56</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earnout</w:t>
            </w:r>
          </w:p>
        </w:tc>
        <w:tc>
          <w:tcPr>
            <w:tcW w:w="9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Issuance of restricted stock awards</w:t>
            </w: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510,000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274,510</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upon vesting of</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41,253</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RSUs</w:t>
            </w:r>
          </w:p>
        </w:tc>
        <w:tc>
          <w:tcPr>
            <w:tcW w:w="9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Issuance of common stock upon exercise of</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155,386</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722</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722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2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warrants</w:t>
            </w: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Stock-based compensation</w:t>
            </w:r>
          </w:p>
        </w:tc>
        <w:tc>
          <w:tcPr>
            <w:tcW w:w="9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19" w:lineRule="exact"/>
              <w:rPr>
                <w:sz w:val="20"/>
                <w:szCs w:val="20"/>
                <w:color w:val="auto"/>
              </w:rPr>
            </w:pPr>
            <w:r>
              <w:rPr>
                <w:rFonts w:ascii="Times New Roman" w:cs="Times New Roman" w:eastAsia="Times New Roman" w:hAnsi="Times New Roman"/>
                <w:sz w:val="11"/>
                <w:szCs w:val="11"/>
                <w:color w:val="auto"/>
              </w:rPr>
              <w:t>7,102</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7,102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26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Net loss</w:t>
            </w: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Times New Roman" w:cs="Times New Roman" w:eastAsia="Times New Roman" w:hAnsi="Times New Roman"/>
                <w:sz w:val="11"/>
                <w:szCs w:val="11"/>
                <w:color w:val="auto"/>
              </w:rPr>
              <w:t>(8,272)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60"/>
              <w:spacing w:after="0" w:line="119" w:lineRule="exact"/>
              <w:rPr>
                <w:sz w:val="20"/>
                <w:szCs w:val="20"/>
                <w:color w:val="auto"/>
              </w:rPr>
            </w:pPr>
            <w:r>
              <w:rPr>
                <w:rFonts w:ascii="Times New Roman" w:cs="Times New Roman" w:eastAsia="Times New Roman" w:hAnsi="Times New Roman"/>
                <w:sz w:val="11"/>
                <w:szCs w:val="11"/>
                <w:color w:val="auto"/>
              </w:rPr>
              <w:t>(8,272)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spacing w:after="0"/>
              <w:rPr>
                <w:sz w:val="11"/>
                <w:szCs w:val="11"/>
                <w:color w:val="auto"/>
              </w:rPr>
            </w:pPr>
          </w:p>
        </w:tc>
        <w:tc>
          <w:tcPr>
            <w:tcW w:w="240" w:type="dxa"/>
            <w:vAlign w:val="bottom"/>
            <w:gridSpan w:val="2"/>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spacing w:after="0"/>
              <w:rPr>
                <w:sz w:val="11"/>
                <w:szCs w:val="11"/>
                <w:color w:val="auto"/>
              </w:rPr>
            </w:pPr>
          </w:p>
        </w:tc>
        <w:tc>
          <w:tcPr>
            <w:tcW w:w="240" w:type="dxa"/>
            <w:vAlign w:val="bottom"/>
            <w:gridSpan w:val="2"/>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spacing w:after="0"/>
              <w:rPr>
                <w:sz w:val="11"/>
                <w:szCs w:val="11"/>
                <w:color w:val="auto"/>
              </w:rPr>
            </w:pPr>
          </w:p>
        </w:tc>
        <w:tc>
          <w:tcPr>
            <w:tcW w:w="760" w:type="dxa"/>
            <w:vAlign w:val="bottom"/>
            <w:gridSpan w:val="2"/>
            <w:shd w:val="clear" w:color="auto" w:fill="CCEEFF"/>
          </w:tcPr>
          <w:p>
            <w:pPr>
              <w:spacing w:after="0"/>
              <w:rPr>
                <w:sz w:val="11"/>
                <w:szCs w:val="11"/>
                <w:color w:val="auto"/>
              </w:rPr>
            </w:pPr>
          </w:p>
        </w:tc>
        <w:tc>
          <w:tcPr>
            <w:tcW w:w="320" w:type="dxa"/>
            <w:vAlign w:val="bottom"/>
            <w:gridSpan w:val="2"/>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spacing w:after="0"/>
              <w:rPr>
                <w:sz w:val="11"/>
                <w:szCs w:val="11"/>
                <w:color w:val="auto"/>
              </w:rPr>
            </w:pPr>
          </w:p>
        </w:tc>
        <w:tc>
          <w:tcPr>
            <w:tcW w:w="120" w:type="dxa"/>
            <w:vAlign w:val="bottom"/>
            <w:gridSpan w:val="2"/>
            <w:shd w:val="clear" w:color="auto" w:fill="CCEEFF"/>
          </w:tcPr>
          <w:p>
            <w:pPr>
              <w:spacing w:after="0"/>
              <w:rPr>
                <w:sz w:val="11"/>
                <w:szCs w:val="11"/>
                <w:color w:val="auto"/>
              </w:rPr>
            </w:pPr>
          </w:p>
        </w:tc>
        <w:tc>
          <w:tcPr>
            <w:tcW w:w="68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60" w:type="dxa"/>
            <w:vAlign w:val="bottom"/>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Balance at June 30, 2025</w:t>
            </w:r>
          </w:p>
        </w:tc>
        <w:tc>
          <w:tcPr>
            <w:tcW w:w="8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4,874,763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3"/>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475,000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135,284</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(134,859</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0" w:type="dxa"/>
            <w:vAlign w:val="bottom"/>
            <w:tcBorders>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top w:val="single" w:sz="8" w:color="auto"/>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425</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0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2440" w:type="dxa"/>
            <w:vAlign w:val="bottom"/>
            <w:gridSpan w:val="2"/>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(32,773)</w:t>
            </w: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(30,402)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129</w:t>
            </w:r>
          </w:p>
        </w:tc>
        <w:tc>
          <w:tcPr>
            <w:tcW w:w="76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1,285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Issuance of warrants to placement agent</w:t>
            </w: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Issuance of common stock for amendment of RaGE earnout</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(960)</w:t>
            </w:r>
          </w:p>
        </w:tc>
        <w:tc>
          <w:tcPr>
            <w:tcW w:w="7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320</w:t>
            </w:r>
          </w:p>
        </w:tc>
        <w:tc>
          <w:tcPr>
            <w:tcW w:w="76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fair value of notes payable</w:t>
            </w: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on extinguishment of notes payable</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4,218</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on issuance of preferred shares and liability-classified warrants</w:t>
            </w: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private placement costs expensed</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514</w:t>
            </w:r>
          </w:p>
        </w:tc>
        <w:tc>
          <w:tcPr>
            <w:tcW w:w="76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Noncash financing costs expensed</w:t>
            </w: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600</w:t>
            </w:r>
          </w:p>
        </w:tc>
        <w:tc>
          <w:tcPr>
            <w:tcW w:w="7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9,941</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20,256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income taxes</w:t>
            </w: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(22)</w:t>
            </w:r>
          </w:p>
        </w:tc>
        <w:tc>
          <w:tcPr>
            <w:tcW w:w="7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on disposal of assets</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non-cash items</w:t>
            </w: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(389)</w:t>
            </w:r>
          </w:p>
        </w:tc>
        <w:tc>
          <w:tcPr>
            <w:tcW w:w="7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Accounts receivable</w:t>
            </w: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588</w:t>
            </w:r>
          </w:p>
        </w:tc>
        <w:tc>
          <w:tcPr>
            <w:tcW w:w="7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Inventory</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(27)</w:t>
            </w:r>
          </w:p>
        </w:tc>
        <w:tc>
          <w:tcPr>
            <w:tcW w:w="76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(1,100)</w:t>
            </w:r>
          </w:p>
        </w:tc>
        <w:tc>
          <w:tcPr>
            <w:tcW w:w="7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Accounts payable</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(2,835)</w:t>
            </w:r>
          </w:p>
        </w:tc>
        <w:tc>
          <w:tcPr>
            <w:tcW w:w="76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28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(14,719)</w:t>
            </w:r>
          </w:p>
        </w:tc>
        <w:tc>
          <w:tcPr>
            <w:tcW w:w="34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7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w:t>
            </w:r>
          </w:p>
        </w:tc>
        <w:tc>
          <w:tcPr>
            <w:tcW w:w="76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2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700" w:type="dxa"/>
            <w:vAlign w:val="bottom"/>
            <w:vMerge w:val="continue"/>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(9)</w:t>
            </w:r>
          </w:p>
        </w:tc>
        <w:tc>
          <w:tcPr>
            <w:tcW w:w="7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sale of common stock and warrants in private placement</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issuance of preferred shares and liability-classified warrants</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issuance of common stock in public offering</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exercise of warrants</w:t>
            </w: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issuance of notes payable</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8,649</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Principal payments on notes payable</w:t>
            </w: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(2,842)</w:t>
            </w:r>
          </w:p>
        </w:tc>
        <w:tc>
          <w:tcPr>
            <w:tcW w:w="7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payments on notes payable - related parties</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(854)</w:t>
            </w:r>
          </w:p>
        </w:tc>
        <w:tc>
          <w:tcPr>
            <w:tcW w:w="76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consideration paid for acquisition of business</w:t>
            </w:r>
          </w:p>
        </w:tc>
        <w:tc>
          <w:tcPr>
            <w:tcW w:w="1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280" w:type="dxa"/>
            <w:vAlign w:val="bottom"/>
            <w:tcBorders>
              <w:bottom w:val="single" w:sz="8" w:color="CCEEFF"/>
            </w:tcBorders>
          </w:tcPr>
          <w:p>
            <w:pPr>
              <w:spacing w:after="0"/>
              <w:rPr>
                <w:sz w:val="14"/>
                <w:szCs w:val="14"/>
                <w:color w:val="auto"/>
              </w:rPr>
            </w:pPr>
          </w:p>
        </w:tc>
        <w:tc>
          <w:tcPr>
            <w:tcW w:w="1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13,597</w:t>
            </w:r>
          </w:p>
        </w:tc>
        <w:tc>
          <w:tcPr>
            <w:tcW w:w="34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57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(1,131)</w:t>
            </w:r>
          </w:p>
        </w:tc>
        <w:tc>
          <w:tcPr>
            <w:tcW w:w="76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beginning of period</w:t>
            </w:r>
          </w:p>
        </w:tc>
        <w:tc>
          <w:tcPr>
            <w:tcW w:w="1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end of period</w:t>
            </w:r>
          </w:p>
        </w:tc>
        <w:tc>
          <w:tcPr>
            <w:tcW w:w="12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34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7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2440" w:type="dxa"/>
            <w:vAlign w:val="bottom"/>
            <w:gridSpan w:val="2"/>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7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Settlement of notes payable and other liabilities in common stock</w:t>
            </w:r>
          </w:p>
        </w:tc>
        <w:tc>
          <w:tcPr>
            <w:tcW w:w="2440" w:type="dxa"/>
            <w:vAlign w:val="bottom"/>
            <w:gridSpan w:val="2"/>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10,561</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1,361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color w:val="auto"/>
        </w:rPr>
        <w:t>Note 1 — Company Information</w:t>
      </w:r>
    </w:p>
    <w:p>
      <w:pPr>
        <w:spacing w:after="0" w:line="185" w:lineRule="exact"/>
        <w:rPr>
          <w:sz w:val="20"/>
          <w:szCs w:val="20"/>
          <w:color w:val="auto"/>
        </w:rPr>
      </w:pPr>
    </w:p>
    <w:p>
      <w:pPr>
        <w:jc w:val="both"/>
        <w:ind w:firstLine="258"/>
        <w:spacing w:after="0" w:line="261" w:lineRule="auto"/>
        <w:rPr>
          <w:sz w:val="20"/>
          <w:szCs w:val="20"/>
          <w:color w:val="auto"/>
        </w:rPr>
      </w:pPr>
      <w:r>
        <w:rPr>
          <w:rFonts w:ascii="Times New Roman" w:cs="Times New Roman" w:eastAsia="Times New Roman" w:hAnsi="Times New Roman"/>
          <w:sz w:val="14"/>
          <w:szCs w:val="14"/>
          <w:color w:val="auto"/>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 In July 2026, our Board of Directors approved the launch of our NSM Initiative, broadening our strategic focus to businesses that advance U.S. national security priorities, including critical resources; defense, aerospace and autonomous systems; energy, water and critical infrastructure; and digital infrastructure and strategic technologies. The Company’s Class A Common Stock and its Public Warrants are traded on the Nasdaq Capital Market under the symbols “MOBX” and “MOBXW,”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Going Concern</w:t>
      </w:r>
    </w:p>
    <w:p>
      <w:pPr>
        <w:spacing w:after="0" w:line="185" w:lineRule="exact"/>
        <w:rPr>
          <w:sz w:val="20"/>
          <w:szCs w:val="20"/>
          <w:color w:val="auto"/>
        </w:rPr>
      </w:pPr>
    </w:p>
    <w:p>
      <w:pPr>
        <w:jc w:val="both"/>
        <w:ind w:firstLine="258"/>
        <w:spacing w:after="0" w:line="261" w:lineRule="auto"/>
        <w:rPr>
          <w:sz w:val="20"/>
          <w:szCs w:val="20"/>
          <w:color w:val="auto"/>
        </w:rPr>
      </w:pPr>
      <w:r>
        <w:rPr>
          <w:rFonts w:ascii="Times New Roman" w:cs="Times New Roman" w:eastAsia="Times New Roman" w:hAnsi="Times New Roman"/>
          <w:sz w:val="14"/>
          <w:szCs w:val="14"/>
          <w:color w:val="auto"/>
        </w:rPr>
        <w:t>The condensed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The Company incurred a loss from operations of $22,278 for the nine months ended June 30, 2026 and incurred losses from operations of $37,693 and $46,395 for the years ended September 30, 2025 and 2024, respectively. Additionally, the Company had negative cash flows from operations of $14,719 for the nine months ended June 30, 2026 and negative cash flows from operations of $10,113 and $18,388 for the years ended September 30, 2025 and 2024, respectively. As of June 30, 2026, the Company had cash on hand of $2,142 and an accumulated deficit of $183,361.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spacing w:after="0" w:line="149" w:lineRule="exact"/>
        <w:rPr>
          <w:sz w:val="20"/>
          <w:szCs w:val="20"/>
          <w:color w:val="auto"/>
        </w:rPr>
      </w:pPr>
    </w:p>
    <w:p>
      <w:pPr>
        <w:jc w:val="both"/>
        <w:ind w:firstLine="258"/>
        <w:spacing w:after="0" w:line="264" w:lineRule="auto"/>
        <w:rPr>
          <w:sz w:val="20"/>
          <w:szCs w:val="20"/>
          <w:color w:val="auto"/>
        </w:rPr>
      </w:pPr>
      <w:r>
        <w:rPr>
          <w:rFonts w:ascii="Times New Roman" w:cs="Times New Roman" w:eastAsia="Times New Roman" w:hAnsi="Times New Roman"/>
          <w:sz w:val="14"/>
          <w:szCs w:val="14"/>
          <w:color w:val="auto"/>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spacing w:after="0" w:line="143"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condensed consolidated financial statements do not include any adjustments that might result from the outcome of these uncertainties. Accordingly, the condensed consolidated financial statements have been prepared on a basis that assumes the Company will continue as a going concern and which contemplates the realization of assets and the satisfaction of liabilities and commitments in the ordinary course of business.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color w:val="auto"/>
        </w:rPr>
        <w:t>Note 2 — Basis of Presentation and Significant Accounting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185" w:lineRule="exact"/>
        <w:rPr>
          <w:sz w:val="20"/>
          <w:szCs w:val="20"/>
          <w:color w:val="auto"/>
        </w:rPr>
      </w:pPr>
    </w:p>
    <w:p>
      <w:pPr>
        <w:jc w:val="both"/>
        <w:ind w:firstLine="258"/>
        <w:spacing w:after="0" w:line="261" w:lineRule="auto"/>
        <w:rPr>
          <w:sz w:val="20"/>
          <w:szCs w:val="20"/>
          <w:color w:val="auto"/>
        </w:rPr>
      </w:pPr>
      <w:r>
        <w:rPr>
          <w:rFonts w:ascii="Times New Roman" w:cs="Times New Roman" w:eastAsia="Times New Roman" w:hAnsi="Times New Roman"/>
          <w:sz w:val="14"/>
          <w:szCs w:val="14"/>
          <w:color w:val="auto"/>
        </w:rPr>
        <w:t>The condensed consolidated financial statements have been prepared in accordance with accounting principles generally accepted in the United States (“GAAP”) for interim financial information and include the accounts of Mobix Labs, Inc. and its subsidiaries. The Company’s fiscal year ends on September 30. Certain information and disclosures normally included in financial statements prepared in accordance with GAAP have been condensed or omitted. Accordingly, these condensed consolidated financial statements should be read in conjunction with the Company’s audited financial statements as of and for the year ended September 30, 2025 and the related notes which provide a more complete discussion of the Company’s accounting policies and certain other information. The September 30, 2025 consolidated balance sheet was derived from the Company’s audited financial statements. These unaudited condensed consolidated financial statements have been prepared on the same basis as the annual financial statements and, in the opinion of management, reflect all adjustments, which include only normal recurring adjustments, necessary for a fair statement of the Company’s condensed consolidated financial position as of June 30, 2026 and its condensed consolidated results of operations and cash flows for the periods ended June 30, 2026 and 2025. The condensed consolidated results of operations for the three months and nine months ended June 30, 2026 are not necessarily indicative of the results to be expected for the fiscal year ending September 30, 2026 or for any other future annual or interim period.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Principles of Consolidation</w:t>
      </w:r>
    </w:p>
    <w:p>
      <w:pPr>
        <w:spacing w:after="0" w:line="185"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The condensed consolidated financial statements include the accounts of the Company and its wholly owned subsidiaries. All intercompany balances and transactions have been eliminated in consolidation. Certain prior year amounts have been reclassified for consistency with the current year presentation.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185" w:lineRule="exact"/>
        <w:rPr>
          <w:sz w:val="20"/>
          <w:szCs w:val="20"/>
          <w:color w:val="auto"/>
        </w:rPr>
      </w:pPr>
    </w:p>
    <w:p>
      <w:pPr>
        <w:jc w:val="both"/>
        <w:ind w:firstLine="258"/>
        <w:spacing w:after="0" w:line="262" w:lineRule="auto"/>
        <w:rPr>
          <w:sz w:val="20"/>
          <w:szCs w:val="20"/>
          <w:color w:val="auto"/>
        </w:rPr>
      </w:pPr>
      <w:r>
        <w:rPr>
          <w:rFonts w:ascii="Times New Roman" w:cs="Times New Roman" w:eastAsia="Times New Roman" w:hAnsi="Times New Roman"/>
          <w:sz w:val="14"/>
          <w:szCs w:val="14"/>
          <w:color w:val="auto"/>
        </w:rPr>
        <w:t>The preparation of the Company’s condensed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condensed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spacing w:after="0" w:line="147" w:lineRule="exact"/>
        <w:rPr>
          <w:sz w:val="20"/>
          <w:szCs w:val="20"/>
          <w:color w:val="auto"/>
        </w:rPr>
      </w:pPr>
    </w:p>
    <w:p>
      <w:pPr>
        <w:ind w:left="520" w:hanging="256"/>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valuation of stock-based compensation awards;</w:t>
      </w:r>
    </w:p>
    <w:p>
      <w:pPr>
        <w:spacing w:after="0" w:line="2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assessments of goodwill and long-lived assets;</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measurement of liabilities carried at fair value, including the earnout liability, liability-classified warrants, bifurcated derivatives, and certain debt instruments; and,</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income taxes and related valuation allowances and tax uncertainties.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Accounting Policies</w:t>
      </w:r>
    </w:p>
    <w:p>
      <w:pPr>
        <w:spacing w:after="0" w:line="185" w:lineRule="exact"/>
        <w:rPr>
          <w:sz w:val="20"/>
          <w:szCs w:val="20"/>
          <w:color w:val="auto"/>
        </w:rPr>
      </w:pPr>
    </w:p>
    <w:p>
      <w:pPr>
        <w:ind w:firstLine="258"/>
        <w:spacing w:after="0" w:line="293" w:lineRule="auto"/>
        <w:rPr>
          <w:sz w:val="20"/>
          <w:szCs w:val="20"/>
          <w:color w:val="auto"/>
        </w:rPr>
      </w:pPr>
      <w:r>
        <w:rPr>
          <w:rFonts w:ascii="Times New Roman" w:cs="Times New Roman" w:eastAsia="Times New Roman" w:hAnsi="Times New Roman"/>
          <w:sz w:val="14"/>
          <w:szCs w:val="14"/>
          <w:color w:val="auto"/>
        </w:rPr>
        <w:t>A summary of the Company’s significant accounting policies is included in its Annual Report on Form 10-K for the year ended September 30, 2025, filed with the Securities and Exchange Commission on January 13, 2026. There have been no significant changes to these policies during the nine months ended June 30, 2026, aside from those outlined below.</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i w:val="1"/>
          <w:iCs w:val="1"/>
          <w:color w:val="auto"/>
        </w:rPr>
        <w:t>Derivative Financial Instruments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 does not use derivative instruments to hedge exposures to cash flow, market, or foreign currency risks. The Company evaluates all of its financial instruments, including warrants, to determine if such instruments are derivatives or contain features that qualify as embedded derivatives in accordance with ASC 815. The Company values its derivatives using the Black-Scholes option-pricing model or other acceptable valuation models, as applicable, with the assistance of valuation specialists. Derivative instruments accounted for as liabilities are valued at inception and subsequent valuation dates for each reporting period the derivative instrument remains outstanding. The classification of derivative instruments, including whether such instruments should be recorded as liabilities, is reassessed at each reporting period.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Long-Lived Assets</w:t>
      </w:r>
    </w:p>
    <w:p>
      <w:pPr>
        <w:spacing w:after="0" w:line="185" w:lineRule="exact"/>
        <w:rPr>
          <w:sz w:val="20"/>
          <w:szCs w:val="20"/>
          <w:color w:val="auto"/>
        </w:rPr>
      </w:pPr>
    </w:p>
    <w:p>
      <w:pPr>
        <w:jc w:val="both"/>
        <w:ind w:firstLine="258"/>
        <w:spacing w:after="0" w:line="262" w:lineRule="auto"/>
        <w:rPr>
          <w:sz w:val="20"/>
          <w:szCs w:val="20"/>
          <w:color w:val="auto"/>
        </w:rPr>
      </w:pPr>
      <w:r>
        <w:rPr>
          <w:rFonts w:ascii="Times New Roman" w:cs="Times New Roman" w:eastAsia="Times New Roman" w:hAnsi="Times New Roman"/>
          <w:sz w:val="14"/>
          <w:szCs w:val="14"/>
          <w:color w:val="auto"/>
        </w:rPr>
        <w:t xml:space="preserve">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did not recognize any impairment losses for the three and nine months ended June 30, 2026. The Company recognized impairment losses of $725 for the three months and nine months ended June 30, 2025. See Note 8,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185"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 The Company did not recognize any goodwill impairment losses for the three and nine months ended June 30, 2026 and 2025. There were no changes in the carrying amount of goodwill during the three and nine months ended June 30, 2026 and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3 — Inventory</w:t>
            </w:r>
          </w:p>
        </w:tc>
        <w:tc>
          <w:tcPr>
            <w:tcW w:w="3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3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Inventory consists of the following:</w:t>
            </w:r>
          </w:p>
        </w:tc>
        <w:tc>
          <w:tcPr>
            <w:tcW w:w="3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5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9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Raw materials</w:t>
            </w:r>
          </w:p>
        </w:tc>
        <w:tc>
          <w:tcPr>
            <w:tcW w:w="4580" w:type="dxa"/>
            <w:vAlign w:val="bottom"/>
            <w:gridSpan w:val="2"/>
            <w:shd w:val="clear" w:color="auto" w:fill="CCEEFF"/>
          </w:tcPr>
          <w:p>
            <w:pPr>
              <w:jc w:val="right"/>
              <w:ind w:right="13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30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124</w:t>
            </w:r>
          </w:p>
        </w:tc>
        <w:tc>
          <w:tcPr>
            <w:tcW w:w="220" w:type="dxa"/>
            <w:vAlign w:val="bottom"/>
          </w:tcPr>
          <w:p>
            <w:pPr>
              <w:spacing w:after="0"/>
              <w:rPr>
                <w:sz w:val="15"/>
                <w:szCs w:val="15"/>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inventory</w:t>
            </w:r>
          </w:p>
        </w:tc>
        <w:tc>
          <w:tcPr>
            <w:tcW w:w="3080" w:type="dxa"/>
            <w:vAlign w:val="bottom"/>
            <w:tcBorders>
              <w:top w:val="single" w:sz="8" w:color="CCEEFF"/>
              <w:bottom w:val="single" w:sz="8" w:color="CCEEFF"/>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ind w:right="134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2"/>
          </w:tcPr>
          <w:p>
            <w:pPr>
              <w:jc w:val="right"/>
              <w:ind w:right="2688"/>
              <w:spacing w:after="0"/>
              <w:rPr>
                <w:sz w:val="20"/>
                <w:szCs w:val="20"/>
                <w:color w:val="auto"/>
              </w:rPr>
            </w:pPr>
            <w:r>
              <w:rPr>
                <w:rFonts w:ascii="Times New Roman" w:cs="Times New Roman" w:eastAsia="Times New Roman" w:hAnsi="Times New Roman"/>
                <w:sz w:val="14"/>
                <w:szCs w:val="14"/>
                <w:color w:val="auto"/>
              </w:rPr>
              <w:t>F-8</w:t>
            </w: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75" w:right="31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4 — Property and Equipment, net</w:t>
            </w: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5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Property and equipment, net consists of the following:</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Pr>
          <w:p>
            <w:pPr>
              <w:spacing w:after="0"/>
              <w:rPr>
                <w:sz w:val="16"/>
                <w:szCs w:val="16"/>
                <w:color w:val="auto"/>
              </w:rPr>
            </w:pPr>
          </w:p>
        </w:tc>
        <w:tc>
          <w:tcPr>
            <w:tcW w:w="17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5180" w:type="dxa"/>
            <w:vAlign w:val="bottom"/>
          </w:tcPr>
          <w:p>
            <w:pPr>
              <w:spacing w:after="0"/>
              <w:rPr>
                <w:sz w:val="14"/>
                <w:szCs w:val="14"/>
                <w:color w:val="auto"/>
              </w:rPr>
            </w:pPr>
          </w:p>
        </w:tc>
        <w:tc>
          <w:tcPr>
            <w:tcW w:w="2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Equipment and furniture</w:t>
            </w:r>
          </w:p>
        </w:tc>
        <w:tc>
          <w:tcPr>
            <w:tcW w:w="204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5 - 7</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400</w:t>
            </w:r>
          </w:p>
        </w:tc>
        <w:tc>
          <w:tcPr>
            <w:tcW w:w="1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Laboratory equipment</w:t>
            </w:r>
          </w:p>
        </w:tc>
        <w:tc>
          <w:tcPr>
            <w:tcW w:w="204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690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180" w:type="dxa"/>
            <w:vAlign w:val="bottom"/>
            <w:shd w:val="clear" w:color="auto" w:fill="CCEEFF"/>
          </w:tcPr>
          <w:p>
            <w:pPr>
              <w:spacing w:after="0"/>
              <w:rPr>
                <w:sz w:val="13"/>
                <w:szCs w:val="13"/>
                <w:color w:val="auto"/>
              </w:rPr>
            </w:pPr>
          </w:p>
        </w:tc>
        <w:tc>
          <w:tcPr>
            <w:tcW w:w="2260" w:type="dxa"/>
            <w:vAlign w:val="bottom"/>
            <w:gridSpan w:val="2"/>
            <w:shd w:val="clear" w:color="auto" w:fill="CCEEFF"/>
          </w:tcPr>
          <w:p>
            <w:pPr>
              <w:jc w:val="center"/>
              <w:ind w:right="220"/>
              <w:spacing w:after="0" w:line="157" w:lineRule="exact"/>
              <w:rPr>
                <w:sz w:val="20"/>
                <w:szCs w:val="20"/>
                <w:color w:val="auto"/>
              </w:rPr>
            </w:pPr>
            <w:r>
              <w:rPr>
                <w:rFonts w:ascii="Times New Roman" w:cs="Times New Roman" w:eastAsia="Times New Roman" w:hAnsi="Times New Roman"/>
                <w:sz w:val="14"/>
                <w:szCs w:val="14"/>
                <w:color w:val="auto"/>
              </w:rPr>
              <w:t>Shorter of estimated useful life or</w:t>
            </w: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2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rPr>
              <w:t>remaining lease term</w:t>
            </w:r>
          </w:p>
        </w:tc>
        <w:tc>
          <w:tcPr>
            <w:tcW w:w="26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(923)</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Depreciation expense for the three months ended June 30, 2026 and 2025 was $42 and $60, respectively. Depreciation expense for the nine months ended June 30, 2026 and 2025 was $129 and $306, respectively.</w:t>
      </w:r>
    </w:p>
    <w:p>
      <w:pPr>
        <w:spacing w:after="0" w:line="123"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During the nine months ended June 30, 2025, the Company recognized losses of $472 on the disposal of certain assets, principally consisting of equipment and furniture and leasehold improvements, at a leased office the Company vacated. Such losses are principally included in selling, general and administrative expenses in the condensed consolidated statements of operations and comprehensive loss.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nine months ended June 30, 2025, the Company recognized an impairment loss of $725 on long-lived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5 — Intangible Assets, net</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44"/>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 consist of the following:</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5"/>
        </w:trPr>
        <w:tc>
          <w:tcPr>
            <w:tcW w:w="4260" w:type="dxa"/>
            <w:vAlign w:val="bottom"/>
          </w:tcPr>
          <w:p>
            <w:pPr>
              <w:spacing w:after="0"/>
              <w:rPr>
                <w:sz w:val="24"/>
                <w:szCs w:val="24"/>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8"/>
        </w:trPr>
        <w:tc>
          <w:tcPr>
            <w:tcW w:w="4260" w:type="dxa"/>
            <w:vAlign w:val="bottom"/>
          </w:tcPr>
          <w:p>
            <w:pPr>
              <w:spacing w:after="0"/>
              <w:rPr>
                <w:sz w:val="13"/>
                <w:szCs w:val="13"/>
                <w:color w:val="auto"/>
              </w:rPr>
            </w:pPr>
          </w:p>
        </w:tc>
        <w:tc>
          <w:tcPr>
            <w:tcW w:w="88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8"/>
        </w:trPr>
        <w:tc>
          <w:tcPr>
            <w:tcW w:w="4260" w:type="dxa"/>
            <w:vAlign w:val="bottom"/>
          </w:tcPr>
          <w:p>
            <w:pPr>
              <w:spacing w:after="0"/>
              <w:rPr>
                <w:sz w:val="16"/>
                <w:szCs w:val="16"/>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6"/>
                <w:szCs w:val="16"/>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6"/>
                <w:szCs w:val="16"/>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164"/>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Developed technology</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 10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(3,234)</w:t>
            </w:r>
          </w:p>
        </w:tc>
        <w:tc>
          <w:tcPr>
            <w:tcW w:w="3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3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72"/>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7"/>
              </w:rPr>
              <w:t>– 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11,900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(2,062)</w:t>
            </w:r>
          </w:p>
        </w:tc>
        <w:tc>
          <w:tcPr>
            <w:tcW w:w="1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9,838</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11,900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(1,374)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10,526</w:t>
            </w:r>
          </w:p>
        </w:tc>
        <w:tc>
          <w:tcPr>
            <w:tcW w:w="80" w:type="dxa"/>
            <w:vAlign w:val="bottom"/>
          </w:tcPr>
          <w:p>
            <w:pPr>
              <w:spacing w:after="0"/>
              <w:rPr>
                <w:sz w:val="14"/>
                <w:szCs w:val="14"/>
                <w:color w:val="auto"/>
              </w:rPr>
            </w:pPr>
          </w:p>
        </w:tc>
      </w:tr>
      <w:tr>
        <w:trPr>
          <w:trHeight w:val="18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names</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 – 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300</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(268)</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(198)</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5"/>
                <w:szCs w:val="15"/>
                <w:color w:val="auto"/>
              </w:rPr>
            </w:pPr>
          </w:p>
        </w:tc>
      </w:tr>
      <w:tr>
        <w:trPr>
          <w:trHeight w:val="174"/>
        </w:trPr>
        <w:tc>
          <w:tcPr>
            <w:tcW w:w="4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17,888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(5,564</w:t>
            </w:r>
          </w:p>
        </w:tc>
        <w:tc>
          <w:tcPr>
            <w:tcW w:w="3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12,324</w:t>
            </w:r>
          </w:p>
        </w:tc>
        <w:tc>
          <w:tcPr>
            <w:tcW w:w="3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17,889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(4,370</w:t>
            </w:r>
          </w:p>
        </w:tc>
        <w:tc>
          <w:tcPr>
            <w:tcW w:w="3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4"/>
              </w:rPr>
              <w:t>)</w:t>
            </w:r>
          </w:p>
        </w:tc>
        <w:tc>
          <w:tcPr>
            <w:tcW w:w="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13,519</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4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Amortization expense related to intangible assets for the three months ended June 30, 2026 and 2025 was $395 and $407, respectively. Amortization expense related to intangible assets for the nine months ended June 30, 2026 and 2025 was $1,195 and $1,285, respectively. The weighted-average remaining lives of intangible assets as of June 30, 2026 were developed technology 4.2 years; customer relationships 10.9 years; and trade names 0.4 years.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Estimated future amortization expense for intangible assets by fiscal year as of June 30, 2026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Years ending September 30,</w:t>
            </w:r>
          </w:p>
        </w:tc>
        <w:tc>
          <w:tcPr>
            <w:tcW w:w="506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163"/>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2026 (remaining three months)</w:t>
            </w:r>
          </w:p>
        </w:tc>
        <w:tc>
          <w:tcPr>
            <w:tcW w:w="50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784"/>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394</w:t>
            </w:r>
          </w:p>
        </w:tc>
      </w:tr>
      <w:tr>
        <w:trPr>
          <w:trHeight w:val="172"/>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1,510</w:t>
            </w:r>
          </w:p>
        </w:tc>
      </w:tr>
      <w:tr>
        <w:trPr>
          <w:trHeight w:val="172"/>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2028</w:t>
            </w:r>
          </w:p>
        </w:tc>
        <w:tc>
          <w:tcPr>
            <w:tcW w:w="5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1,498</w:t>
            </w:r>
          </w:p>
        </w:tc>
      </w:tr>
      <w:tr>
        <w:trPr>
          <w:trHeight w:val="172"/>
        </w:trPr>
        <w:tc>
          <w:tcPr>
            <w:tcW w:w="3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2029</w:t>
            </w: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1,498</w:t>
            </w:r>
          </w:p>
        </w:tc>
      </w:tr>
      <w:tr>
        <w:trPr>
          <w:trHeight w:val="172"/>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2030</w:t>
            </w:r>
          </w:p>
        </w:tc>
        <w:tc>
          <w:tcPr>
            <w:tcW w:w="5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1,454</w:t>
            </w:r>
          </w:p>
        </w:tc>
      </w:tr>
      <w:tr>
        <w:trPr>
          <w:trHeight w:val="183"/>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5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5,970</w:t>
            </w:r>
          </w:p>
        </w:tc>
      </w:tr>
      <w:tr>
        <w:trPr>
          <w:trHeight w:val="174"/>
        </w:trPr>
        <w:tc>
          <w:tcPr>
            <w:tcW w:w="37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50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37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6"/>
        </w:trPr>
        <w:tc>
          <w:tcPr>
            <w:tcW w:w="37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gridSpan w:val="3"/>
          </w:tcPr>
          <w:p>
            <w:pPr>
              <w:jc w:val="right"/>
              <w:ind w:right="4144"/>
              <w:spacing w:after="0"/>
              <w:rPr>
                <w:sz w:val="20"/>
                <w:szCs w:val="20"/>
                <w:color w:val="auto"/>
              </w:rPr>
            </w:pPr>
            <w:r>
              <w:rPr>
                <w:rFonts w:ascii="Times New Roman" w:cs="Times New Roman" w:eastAsia="Times New Roman" w:hAnsi="Times New Roman"/>
                <w:sz w:val="14"/>
                <w:szCs w:val="14"/>
                <w:color w:val="auto"/>
              </w:rPr>
              <w:t>F-9</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74" w:right="31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6 — Accrued Expenses and Other Current Liabilities</w:t>
            </w:r>
          </w:p>
        </w:tc>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5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expenses and other current liabilities consist of the following:</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5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2800" w:type="dxa"/>
            <w:vAlign w:val="bottom"/>
            <w:gridSpan w:val="2"/>
            <w:shd w:val="clear" w:color="auto" w:fill="CCEEFF"/>
          </w:tcPr>
          <w:p>
            <w:pPr>
              <w:jc w:val="right"/>
              <w:ind w:right="13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884</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1,212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Accrued professional fees</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332</w:t>
            </w:r>
          </w:p>
        </w:tc>
        <w:tc>
          <w:tcPr>
            <w:tcW w:w="220" w:type="dxa"/>
            <w:vAlign w:val="bottom"/>
          </w:tcPr>
          <w:p>
            <w:pPr>
              <w:spacing w:after="0"/>
              <w:rPr>
                <w:sz w:val="14"/>
                <w:szCs w:val="14"/>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3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Committed equity facility fees</w:t>
            </w:r>
          </w:p>
        </w:tc>
        <w:tc>
          <w:tcPr>
            <w:tcW w:w="13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Unpaid Merger-related transaction costs</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RaGE Earnout</w:t>
            </w:r>
          </w:p>
        </w:tc>
        <w:tc>
          <w:tcPr>
            <w:tcW w:w="13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ind w:right="13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9,114</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7 — Debt</w:t>
            </w:r>
          </w:p>
        </w:tc>
        <w:tc>
          <w:tcPr>
            <w:tcW w:w="1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66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56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consists of the following:</w:t>
            </w: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5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w:t>
            </w:r>
          </w:p>
        </w:tc>
        <w:tc>
          <w:tcPr>
            <w:tcW w:w="2800" w:type="dxa"/>
            <w:vAlign w:val="bottom"/>
            <w:gridSpan w:val="2"/>
            <w:shd w:val="clear" w:color="auto" w:fill="CCEEFF"/>
          </w:tcPr>
          <w:p>
            <w:pPr>
              <w:jc w:val="right"/>
              <w:ind w:right="13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995</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3,934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7% promissory notes – related parties</w:t>
            </w: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6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debt</w:t>
            </w:r>
          </w:p>
        </w:tc>
        <w:tc>
          <w:tcPr>
            <w:tcW w:w="134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6,185</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Less: Amounts classified as current</w:t>
            </w: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(2,392)</w:t>
            </w:r>
          </w:p>
        </w:tc>
        <w:tc>
          <w:tcPr>
            <w:tcW w:w="220" w:type="dxa"/>
            <w:vAlign w:val="bottom"/>
          </w:tcPr>
          <w:p>
            <w:pPr>
              <w:spacing w:after="0"/>
              <w:rPr>
                <w:sz w:val="15"/>
                <w:szCs w:val="15"/>
                <w:color w:val="auto"/>
              </w:rPr>
            </w:pP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(5,086)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Noncurrent portion</w:t>
            </w: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ind w:right="13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Debt measured at fair value consists of the following:</w:t>
            </w:r>
          </w:p>
        </w:tc>
        <w:tc>
          <w:tcPr>
            <w:tcW w:w="1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66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5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 measured at fair value</w:t>
            </w:r>
          </w:p>
        </w:tc>
        <w:tc>
          <w:tcPr>
            <w:tcW w:w="2800" w:type="dxa"/>
            <w:vAlign w:val="bottom"/>
            <w:gridSpan w:val="2"/>
            <w:shd w:val="clear" w:color="auto" w:fill="CCEEFF"/>
          </w:tcPr>
          <w:p>
            <w:pPr>
              <w:jc w:val="right"/>
              <w:ind w:right="13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debt measured at fair value</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3,360</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Amounts classified as current</w:t>
            </w:r>
          </w:p>
        </w:tc>
        <w:tc>
          <w:tcPr>
            <w:tcW w:w="13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(3,360)</w:t>
            </w:r>
          </w:p>
        </w:tc>
        <w:tc>
          <w:tcPr>
            <w:tcW w:w="220" w:type="dxa"/>
            <w:vAlign w:val="bottom"/>
            <w:shd w:val="clear" w:color="auto" w:fill="CCEEFF"/>
          </w:tcPr>
          <w:p>
            <w:pPr>
              <w:spacing w:after="0"/>
              <w:rPr>
                <w:sz w:val="15"/>
                <w:szCs w:val="15"/>
                <w:color w:val="auto"/>
              </w:rPr>
            </w:pP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Noncurrent portion</w:t>
            </w:r>
          </w:p>
        </w:tc>
        <w:tc>
          <w:tcPr>
            <w:tcW w:w="1340" w:type="dxa"/>
            <w:vAlign w:val="bottom"/>
          </w:tcPr>
          <w:p>
            <w:pPr>
              <w:spacing w:after="0"/>
              <w:rPr>
                <w:sz w:val="15"/>
                <w:szCs w:val="15"/>
                <w:color w:val="auto"/>
              </w:rPr>
            </w:pPr>
          </w:p>
        </w:tc>
        <w:tc>
          <w:tcPr>
            <w:tcW w:w="1460" w:type="dxa"/>
            <w:vAlign w:val="bottom"/>
            <w:tcBorders>
              <w:top w:val="single" w:sz="8" w:color="auto"/>
            </w:tcBorders>
          </w:tcPr>
          <w:p>
            <w:pPr>
              <w:jc w:val="right"/>
              <w:ind w:right="13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Exchange Agreements</w:t>
      </w:r>
    </w:p>
    <w:p>
      <w:pPr>
        <w:spacing w:after="0" w:line="185"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On March 13, 2026, the Company entered into an exchange agreement pursuant to which certain outstanding indebtedness and other amounts owed were exchanged for shares of the Company’s Class A Common Stock. Under this agreement, outstanding obligations of $1,425 were partially settled through the issuance of shares having an aggregate value of $615, with the remaining balance of $810 to be resolved under a separate agreement.</w:t>
      </w:r>
    </w:p>
    <w:p>
      <w:pPr>
        <w:spacing w:after="0" w:line="135" w:lineRule="exact"/>
        <w:rPr>
          <w:sz w:val="20"/>
          <w:szCs w:val="20"/>
          <w:color w:val="auto"/>
        </w:rPr>
      </w:pPr>
    </w:p>
    <w:p>
      <w:pPr>
        <w:jc w:val="both"/>
        <w:ind w:firstLine="258"/>
        <w:spacing w:after="0" w:line="265" w:lineRule="auto"/>
        <w:rPr>
          <w:sz w:val="20"/>
          <w:szCs w:val="20"/>
          <w:color w:val="auto"/>
        </w:rPr>
      </w:pPr>
      <w:r>
        <w:rPr>
          <w:rFonts w:ascii="Times New Roman" w:cs="Times New Roman" w:eastAsia="Times New Roman" w:hAnsi="Times New Roman"/>
          <w:sz w:val="14"/>
          <w:szCs w:val="14"/>
          <w:color w:val="auto"/>
        </w:rPr>
        <w:t>On June 5, 2026, the Company entered into a final exchange agreement pursuant to which certain outstanding indebtedness and other amounts owed were exchanged for shares of the Company’s Class A Common Stock. Under the agreement, the remaining balance of $810 was settled through the issuance of shares having an aggregate value equal to the remaining outstanding obligation. Upon closing, the applicable exchanged obligations were to be cancelled and extinguished in accordance with the terms of the respective agreements. In connection with these agreements, the Company issued 459,310 shares of the Company’s Class A Common Stock and recognized a loss on the extinguishment of debt of $149, which was recorded in loss on extinguishment of notes payable in the condensed consolidated statements of operations and comprehensive loss.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05" w:name="page106"/>
    <w:bookmarkEnd w:id="105"/>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During the nine months ended June 30, 2026, the Company and the holders of four notes agreed to settle the outstanding principal and accrued interest, totaling $3,001, for 1,207,015 shares of the Company’s Class A Common Stock. The Company recognized a loss on the extinguishment of debt of $597, which was recorded in loss on extinguishment of notes payable in the condensed consolidated statements of operations and comprehensive loss.</w:t>
      </w:r>
    </w:p>
    <w:p>
      <w:pPr>
        <w:spacing w:after="0" w:line="135"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During the nine months ended June 30, 2025, the Company and the holders of three notes agreed to settle the outstanding principal and accrued interest, totaling $661, for 79,868 shares of the Company’s Class A Common Stock. The Company recognized a loss on the extinguishment of debt of $300 recorded in loss on extinguishment of notes payable in the condensed consolidated statements of operations and comprehensive loss.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Convertible Notes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Between February 23, 2026 and March 31, 2026, the Company entered into three securities purchase agreements providing for the issuance of convertible 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Bridge Promissory Notes</w:t>
      </w:r>
    </w:p>
    <w:p>
      <w:pPr>
        <w:spacing w:after="0" w:line="185"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The first two agreements, entered into on February 23, 2026 and March 16, 2026, provided for bridge promissory notes with an aggregate principal amount of $554, aggregate original issue discount of $72, aggregate purchase price of $482, and one-time interest charges of 12%, resulting in net proceeds to the Company of $445. These bridge notes mature on December 30, 2026 and January 15, 2027, respectively, and require aggregate scheduled payments of $621.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Leviston Senior Convertible Notes</w:t>
      </w:r>
    </w:p>
    <w:p>
      <w:pPr>
        <w:spacing w:after="0" w:line="185" w:lineRule="exact"/>
        <w:rPr>
          <w:sz w:val="20"/>
          <w:szCs w:val="20"/>
          <w:color w:val="auto"/>
        </w:rPr>
      </w:pPr>
    </w:p>
    <w:p>
      <w:pPr>
        <w:jc w:val="both"/>
        <w:ind w:firstLine="258"/>
        <w:spacing w:after="0" w:line="261" w:lineRule="auto"/>
        <w:rPr>
          <w:sz w:val="20"/>
          <w:szCs w:val="20"/>
          <w:color w:val="auto"/>
        </w:rPr>
      </w:pPr>
      <w:r>
        <w:rPr>
          <w:rFonts w:ascii="Times New Roman" w:cs="Times New Roman" w:eastAsia="Times New Roman" w:hAnsi="Times New Roman"/>
          <w:sz w:val="14"/>
          <w:szCs w:val="14"/>
          <w:color w:val="auto"/>
        </w:rPr>
        <w:t>The third agreement, entered into on March 31, 2026, with Leviston Resources, LLC (“Leviston”), provided for a senior secured convertible note with a principal amount of $3,000 (the “Convertible Note”). The holder funded $2,500, reflecting an original issue discount of $500, and $25 was withheld for legal fees, resulting in net proceeds to the Company of $2,475. This note bears interest at 10% per annum, matures on July 31, 2026, at which time the outstanding principal and accrued interest are due and payable in cash, unless earlier converted in accordance with its terms. Following an Event of Default (as defined in the Convertible Note), all amounts owing by the Company to the holder shall be increased to an amount equal to 125% of the then outstanding obligations. At any time prior to maturity, the holder may convert all or a portion of the outstanding principal and accrued interest into shares of Class A Common Stock in the manner set forth in the Convertible Note. Subject to adjustment as set forth in the Convertible Note, the conversion price is the lesser of (A) the closing price on March 31, 2026 and (B) 85% of the lowest 8-day VWAP of the Class A Common Stock immediately prior to and including the date of the conversion notice. With respect to the March 31, 2026 financing, the Company entered into a registration rights agreement and a security agreement.</w:t>
      </w:r>
    </w:p>
    <w:p>
      <w:pPr>
        <w:spacing w:after="0" w:line="149" w:lineRule="exact"/>
        <w:rPr>
          <w:sz w:val="20"/>
          <w:szCs w:val="20"/>
          <w:color w:val="auto"/>
        </w:rPr>
      </w:pPr>
    </w:p>
    <w:p>
      <w:pPr>
        <w:jc w:val="both"/>
        <w:ind w:firstLine="258"/>
        <w:spacing w:after="0" w:line="265" w:lineRule="auto"/>
        <w:rPr>
          <w:sz w:val="20"/>
          <w:szCs w:val="20"/>
          <w:color w:val="auto"/>
        </w:rPr>
      </w:pPr>
      <w:r>
        <w:rPr>
          <w:rFonts w:ascii="Times New Roman" w:cs="Times New Roman" w:eastAsia="Times New Roman" w:hAnsi="Times New Roman"/>
          <w:sz w:val="14"/>
          <w:szCs w:val="14"/>
          <w:color w:val="auto"/>
        </w:rPr>
        <w:t>On May 13, 2026, the Company entered into a First Amendment to the Securities Purchase Agreement and Senior Secured Convertible Note (the “First Amendment”) with Leviston amending the Senior Secured Convertible Note originally issued on March 31, 2026 (the “Original Note”). Pursuant to the First Amendment, Leviston advanced an additional $833 to the Company, increasing the total funded amount under the Original Note to $3,333. The First Amendment increased the aggregate principal amount of the Original Note, inclusive of a 16.667% original issue discount, from $3,000 to $4,000. Interest on the incremental $1,000 of principal created by the First Amendment commenced accruing on May 13, 2026; interest on the original $3,000 principal continues to accrue in accordance with the terms of the Original Note as in effect immediately prior to May 13, 2026.</w:t>
      </w:r>
    </w:p>
    <w:p>
      <w:pPr>
        <w:spacing w:after="0" w:line="144" w:lineRule="exact"/>
        <w:rPr>
          <w:sz w:val="20"/>
          <w:szCs w:val="20"/>
          <w:color w:val="auto"/>
        </w:rPr>
      </w:pPr>
    </w:p>
    <w:p>
      <w:pPr>
        <w:jc w:val="both"/>
        <w:ind w:firstLine="258"/>
        <w:spacing w:after="0" w:line="261" w:lineRule="auto"/>
        <w:rPr>
          <w:sz w:val="20"/>
          <w:szCs w:val="20"/>
          <w:color w:val="auto"/>
        </w:rPr>
      </w:pPr>
      <w:r>
        <w:rPr>
          <w:rFonts w:ascii="Times New Roman" w:cs="Times New Roman" w:eastAsia="Times New Roman" w:hAnsi="Times New Roman"/>
          <w:sz w:val="14"/>
          <w:szCs w:val="14"/>
          <w:color w:val="auto"/>
        </w:rPr>
        <w:t>On May 13, 2026, the Company entered into an Investor Rights Agreement (the “IRA”) with Leviston, in connection with the Senior Secured Convertible Note originally entered into on March 31, 2026 and amended pursuant to the First Amendment described above. Pursuant to the IRA, the Company granted Leviston the right, but not the obligation, to purchase one or more additional senior secured convertible notes (each, an “Additional Note”) from the Company during the seven-month period commencing May 13, 2026 and ending December 13, 2026, in an aggregate principal amount not to exceed $4,000, with a corresponding maximum aggregate cash subscription amount of approximately $3,333, reflecting the same 16.667% original issue discount as the Original Note. Each Additional Note will be issued in minimum tranches of $300 of principal, will bear interest at 10% per annum (18% upon an event of default), will mature four months from its respective issuance date, and will be convertible into shares of the Company’s Class A Common Stock at a price equal to the lesser of (i) the closing price of the Common Stock on the applicable issuance date and (ii) 85% of the lowest 8-day volume-weighted average price immediately prior to and including the date of the applicable conversion notice. Following an Event of Default (as defined in the Additional Note), all amounts owing by the Company to the holder shall be increased to an amount equal to 125% of the then outstanding obligations. Any Additional Notes issued under the IRA will constitute senior secured indebtedness of the Company ranking pari passu with, and secured by the same collateral as, the Original Note.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106" w:name="page107"/>
    <w:bookmarkEnd w:id="106"/>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On May 18, 2026, the Company satisfied in full the entire $4,000 of outstanding principal under the Original Note, together with all accrued interest thereon, through the conversion of such amounts into an aggregate of 2,500,000 shares of Common Stock. Upon such full satisfaction, the Original Note, the Securities Purchase Agreement, dated March 31, 2026, between the Company and Leviston (as amended by the First Amendment), and the Registration Rights Agreement, dated March 31, 2026, between the Company and Leviston, terminated in accordance with their terms.</w:t>
      </w:r>
    </w:p>
    <w:p>
      <w:pPr>
        <w:spacing w:after="0" w:line="135"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Based on the fair value of the shares issued at the time of settlement of $6,827, or $2.73 per share, the Company recognized a loss on extinguishment of debt of $3,328, which was recorded in loss on extinguishment of notes payable in the condensed consolidated statements of operations and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Leviston Senior Convertible Notes Measured at Fair Value</w:t>
      </w:r>
    </w:p>
    <w:p>
      <w:pPr>
        <w:spacing w:after="0" w:line="185" w:lineRule="exact"/>
        <w:rPr>
          <w:sz w:val="20"/>
          <w:szCs w:val="20"/>
          <w:color w:val="auto"/>
        </w:rPr>
      </w:pPr>
    </w:p>
    <w:p>
      <w:pPr>
        <w:jc w:val="both"/>
        <w:ind w:firstLine="258"/>
        <w:spacing w:after="0" w:line="261" w:lineRule="auto"/>
        <w:rPr>
          <w:sz w:val="20"/>
          <w:szCs w:val="20"/>
          <w:color w:val="auto"/>
        </w:rPr>
      </w:pPr>
      <w:r>
        <w:rPr>
          <w:rFonts w:ascii="Times New Roman" w:cs="Times New Roman" w:eastAsia="Times New Roman" w:hAnsi="Times New Roman"/>
          <w:sz w:val="14"/>
          <w:szCs w:val="14"/>
          <w:color w:val="auto"/>
        </w:rPr>
        <w:t>On May 18, 2026, the Company issued to Leviston an Additional Note pursuant to the IRA with a principal amount of $1,200. The holder funded $1,000 reflecting an original issue discount of $200, resulting in net proceeds to the Company of $1,000. This note bears interest at 10% per annum, and matures on September 18, 2026, at which time the outstanding principal and accrued interest are due and payable in cash, unless earlier converted in accordance with its terms. At any time prior to maturity, the holder may convert all or a portion of the outstanding principal and accrued interest into shares of Class A Common Stock in the manner set forth in the Additional Note. Subject to adjustment as set forth in the Additional Note, the conversion price is the lesser of</w:t>
      </w:r>
    </w:p>
    <w:p>
      <w:pPr>
        <w:spacing w:after="0" w:line="2" w:lineRule="exact"/>
        <w:rPr>
          <w:sz w:val="20"/>
          <w:szCs w:val="20"/>
          <w:color w:val="auto"/>
        </w:rPr>
      </w:pPr>
    </w:p>
    <w:p>
      <w:pPr>
        <w:ind w:firstLine="6"/>
        <w:spacing w:after="0" w:line="273" w:lineRule="auto"/>
        <w:tabs>
          <w:tab w:leader="none" w:pos="23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closing price on May 18, 2026 and (B) 85% of the lowest 8-day VWAP of the Class A Common Stock immediately prior to and including the date of the conversion notice. The Company elected the fair value option to account for this note. See Note 14,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jc w:val="both"/>
        <w:ind w:firstLine="258"/>
        <w:spacing w:after="0" w:line="262" w:lineRule="auto"/>
        <w:rPr>
          <w:sz w:val="20"/>
          <w:szCs w:val="20"/>
          <w:color w:val="auto"/>
        </w:rPr>
      </w:pPr>
      <w:r>
        <w:rPr>
          <w:rFonts w:ascii="Times New Roman" w:cs="Times New Roman" w:eastAsia="Times New Roman" w:hAnsi="Times New Roman"/>
          <w:sz w:val="14"/>
          <w:szCs w:val="14"/>
          <w:color w:val="auto"/>
        </w:rPr>
        <w:t xml:space="preserve">On June 22, 2026, the Company issued to Leviston a senior secured convertible note with a principal amount of $2,800. The holder funded $2,333, reflecting an original issue discount of $467, and $25 was withheld for legal fees, resulting in net proceeds to the Company of $2,308. This note bears interest at 10% per annum, and matures on October 22, 2026, at which time the outstanding principal and accrued interest are due and payable in cash, unless earlier converted in accordance with its terms. Following an Event of Default (as defined in the Additional Note), all amounts owing by the Company to the holder shall be increased to an amount equal to 125% of the then outstanding obligations. At any time prior to maturity, the holder may convert all or a portion of the outstanding principal and accrued interest into shares of Class A Common Stock in the manner set forth in the Additional Note. Subject to adjustment as set forth in the Additional Note, the conversion price is the lesser of (A) the closing price on June 22, 2026 and (B) 85% of the lowest 8-day VWAP of the Class A Common Stock immediately prior to and including the date of the conversion notice. The Company elected the fair value option to account for this note. See Note 14,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Maximcash Loan and Security Agreement</w:t>
      </w:r>
    </w:p>
    <w:p>
      <w:pPr>
        <w:spacing w:after="0" w:line="185" w:lineRule="exact"/>
        <w:rPr>
          <w:sz w:val="20"/>
          <w:szCs w:val="20"/>
          <w:color w:val="auto"/>
        </w:rPr>
      </w:pPr>
    </w:p>
    <w:p>
      <w:pPr>
        <w:jc w:val="both"/>
        <w:ind w:firstLine="258"/>
        <w:spacing w:after="0" w:line="264" w:lineRule="auto"/>
        <w:rPr>
          <w:sz w:val="20"/>
          <w:szCs w:val="20"/>
          <w:color w:val="auto"/>
        </w:rPr>
      </w:pPr>
      <w:r>
        <w:rPr>
          <w:rFonts w:ascii="Times New Roman" w:cs="Times New Roman" w:eastAsia="Times New Roman" w:hAnsi="Times New Roman"/>
          <w:sz w:val="14"/>
          <w:szCs w:val="14"/>
          <w:color w:val="auto"/>
        </w:rPr>
        <w:t>On January 15, 2026, the Company amended an existing loan and security agreement, dated August 13, 2025, pursuant to which the Company was provided with a closed-end commercial loan in the original principal amount of $600. Under the amendment, the Company agreed to make an additional interim payment of $33, and make a principal reduction payment of $233. The amendment also provided for an equity-based settlement of the remaining obligations under the loan, subject to the effectiveness of a registration statement covering shares of the Company’s common stock held by or for the benefit of Maximcash Solutions LLC and the Company’s timely payment of the required cash amounts. During the nine months ended June 30, 2026, the Company settled the remaining outstanding indebtedness under the arrangement. In connection with the settlement, indebtedness of $232, consisting of principal of $140 and accrued interest of $92, was settled through the issuance of 169,375 shares of the Company’s Class A Common Stock.</w:t>
      </w:r>
    </w:p>
    <w:p>
      <w:pPr>
        <w:spacing w:after="0" w:line="143"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Based on the fair value of the shares issued or delivered at the time of settlement of $376, or $2.22 per share, the Company recognized a loss on extinguishment of debt of $144, which was recorded in loss on extinguishment of notes payable in the condensed consolidated statements of operations and comprehensive loss.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i w:val="1"/>
          <w:iCs w:val="1"/>
          <w:color w:val="auto"/>
        </w:rPr>
        <w:t>Purchase and Sale of Future Receipts</w:t>
      </w:r>
    </w:p>
    <w:p>
      <w:pPr>
        <w:spacing w:after="0" w:line="185" w:lineRule="exact"/>
        <w:rPr>
          <w:sz w:val="20"/>
          <w:szCs w:val="20"/>
          <w:color w:val="auto"/>
        </w:rPr>
      </w:pPr>
    </w:p>
    <w:p>
      <w:pPr>
        <w:jc w:val="both"/>
        <w:ind w:firstLine="258"/>
        <w:spacing w:after="0" w:line="262" w:lineRule="auto"/>
        <w:rPr>
          <w:sz w:val="20"/>
          <w:szCs w:val="20"/>
          <w:color w:val="auto"/>
        </w:rPr>
      </w:pPr>
      <w:r>
        <w:rPr>
          <w:rFonts w:ascii="Times New Roman" w:cs="Times New Roman" w:eastAsia="Times New Roman" w:hAnsi="Times New Roman"/>
          <w:sz w:val="14"/>
          <w:szCs w:val="14"/>
          <w:color w:val="auto"/>
        </w:rPr>
        <w:t>During the nine months ended June 30, 2026, the Company also amended two existing agreements for the purchase and sale of future receipts, pursuant to which the Company agreed to sell to the buyers additional future trade receipts totaling $1,966 (together with amounts already outstanding under these agreements, the “Future Receipts Purchased Amount”) for net proceeds to the Company of $806.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July 2026. In December 2024, the Company entered into an agreement for the purchase and sale of future receipts with an unrelated buyer pursuant to which the Company agreed to sell to the buyer certain future trade receipts in the aggregate amount of $710 for net proceeds to the Company of $480. Under the agreement, the Company granted the buyer a security interest in all of the Company’s present and future accounts receivable in an amount not to exceed the Future Receipts Purchased Amount.</w:t>
      </w:r>
    </w:p>
    <w:p>
      <w:pPr>
        <w:spacing w:after="0" w:line="147"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During the nine months ended June 30, 2025, the Company entered into three agreements for the purchase and sale of future receipts with unrelated buyers, pursuant to which the Company agreed to sell to the buyer certain future trade receipts in the aggregate amount of $2,918 (the “Future Receipts Purchased Amount”) for net proceeds to the Company of $1,930. Under the agreements, the Company granted the buyers a security interest in all of the Company’s present and future accounts receivable in an amount not to exceed the Future Receipts Purchased Amount. The Company was required to pay the Future Receipts Purchased Amount in varying weekly installments through November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Notes Payable with Financial Institutions</w:t>
      </w:r>
    </w:p>
    <w:p>
      <w:pPr>
        <w:spacing w:after="0" w:line="185"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During the nine months ended June 30, 2025, the Company entered into two notes payable with financial institutions for net proceeds of $545. The notes have terms of seven to eighteen months and require weekly payments totaling $819, including finance charges. The notes are secured by substantially all of the Company’s assets and one note is guaranteed by an officer and director of the Company. The Company also borrowed $100 from an unrelated investor.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Total Principal Payments and Remaining Principal Balances on Non-Related Party Debt</w:t>
      </w:r>
    </w:p>
    <w:p>
      <w:pPr>
        <w:spacing w:after="0" w:line="185"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During the nine months ended June 30, 2026 and 2025, the Company made principal payments on notes payable of $2,842 and $655, respectively. As of June 30, 2026, notes payable having an aggregate remaining principal balance of $995 were outstanding and are included in “Notes payable” in the condensed consolidated balance sheet. As of June 30, 2026, notes payable measured at a fair value of $3,360 are included in “Notes payable – measured at fair value” in the condensed consolidated balance sheet.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7% Promissory Notes — Related Parties</w:t>
      </w:r>
    </w:p>
    <w:p>
      <w:pPr>
        <w:spacing w:after="0" w:line="185" w:lineRule="exact"/>
        <w:rPr>
          <w:sz w:val="20"/>
          <w:szCs w:val="20"/>
          <w:color w:val="auto"/>
        </w:rPr>
      </w:pPr>
    </w:p>
    <w:p>
      <w:pPr>
        <w:jc w:val="both"/>
        <w:ind w:firstLine="258"/>
        <w:spacing w:after="0" w:line="264" w:lineRule="auto"/>
        <w:rPr>
          <w:sz w:val="20"/>
          <w:szCs w:val="20"/>
          <w:color w:val="auto"/>
        </w:rPr>
      </w:pPr>
      <w:r>
        <w:rPr>
          <w:rFonts w:ascii="Times New Roman" w:cs="Times New Roman" w:eastAsia="Times New Roman" w:hAnsi="Times New Roman"/>
          <w:sz w:val="14"/>
          <w:szCs w:val="14"/>
          <w:color w:val="auto"/>
        </w:rPr>
        <w:t>The Company has two outstanding promissory notes with related parties which bear interest at 7% per annum and are unsecured. One 7% promissory note, having a principal balance of $229 as of June 30, 2026, is payable in monthly payments of varying amounts through September 2026. The other 7% promissory note, having a principal balance of $1,168 as of June 30, 2026, no longer bears interest; the outstanding principal and previously accrued interest balance is payable in monthly payments of varying amounts through March 2027, with the remaining principal of $979 payable on May 15, 2027. The outstanding principal balance of the 7% promissory notes is included in “Notes payable — related parties, current” and “Notes payable — related parties, noncurrent” in the condensed consolidated balance sheet as of June 30, 2026. During the nine months ended June 30, 2026 and 2025, the Company made principal payments of $854 and $115, respectively, on the 7% promissory notes.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color w:val="auto"/>
        </w:rPr>
        <w:t>Note 8 — Leases</w:t>
      </w:r>
    </w:p>
    <w:p>
      <w:pPr>
        <w:spacing w:after="0" w:line="185"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The Company has entered into operating leases for office space. The leases have remaining terms ranging from five months to 1.1 years and expire at various dates through July 2027. The leases do not contain residual value guarantees or restrictive covenants. The following lease costs are included in the condensed consolidated statements of operations and comprehensive loss: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4"/>
        </w:trPr>
        <w:tc>
          <w:tcPr>
            <w:tcW w:w="4100" w:type="dxa"/>
            <w:vAlign w:val="bottom"/>
            <w:tcBorders>
              <w:bottom w:val="single" w:sz="8" w:color="CCEEFF"/>
            </w:tcBorders>
          </w:tcPr>
          <w:p>
            <w:pPr>
              <w:spacing w:after="0"/>
              <w:rPr>
                <w:sz w:val="15"/>
                <w:szCs w:val="15"/>
                <w:color w:val="auto"/>
              </w:rPr>
            </w:pPr>
          </w:p>
        </w:tc>
        <w:tc>
          <w:tcPr>
            <w:tcW w:w="29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r>
      <w:tr>
        <w:trPr>
          <w:trHeight w:val="16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29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shd w:val="clear" w:color="auto" w:fill="CCEEFF"/>
          </w:tcPr>
          <w:p>
            <w:pPr>
              <w:spacing w:after="0"/>
              <w:rPr>
                <w:sz w:val="14"/>
                <w:szCs w:val="14"/>
                <w:color w:val="auto"/>
              </w:rPr>
            </w:pPr>
          </w:p>
        </w:tc>
      </w:tr>
      <w:tr>
        <w:trPr>
          <w:trHeight w:val="183"/>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Short-term lease cost</w:t>
            </w:r>
          </w:p>
        </w:tc>
        <w:tc>
          <w:tcPr>
            <w:tcW w:w="2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w:t>
            </w:r>
          </w:p>
        </w:tc>
      </w:tr>
      <w:tr>
        <w:trPr>
          <w:trHeight w:val="174"/>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cost</w:t>
            </w:r>
          </w:p>
        </w:tc>
        <w:tc>
          <w:tcPr>
            <w:tcW w:w="290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4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 for the nine months ended June 30, 2026 and 2025 was $239 and $458, respectively. As of June 30, 2026, the weighted-average remaining lease term was 0.7 years, and the weighted-average discount rate was 15.6%. There are no other leases that had not yet commenced as of June 30, 2026 that will create significant additional rights and obligations for the Company. The following table reconciles the undiscounted cash flows to the operating lease liabilities recorded on the condensed consolidated balance sheet as of June 30, 2026: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Years ending September 30,</w:t>
            </w: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9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2026 (remaining three months)</w:t>
            </w:r>
          </w:p>
        </w:tc>
        <w:tc>
          <w:tcPr>
            <w:tcW w:w="960" w:type="dxa"/>
            <w:vAlign w:val="bottom"/>
            <w:gridSpan w:val="2"/>
          </w:tcPr>
          <w:p>
            <w:pPr>
              <w:jc w:val="right"/>
              <w:ind w:right="87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4"/>
                <w:szCs w:val="14"/>
                <w:color w:val="auto"/>
              </w:rPr>
            </w:pPr>
          </w:p>
        </w:tc>
      </w:tr>
      <w:tr>
        <w:trPr>
          <w:trHeight w:val="183"/>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5"/>
                <w:szCs w:val="15"/>
                <w:color w:val="auto"/>
              </w:rPr>
            </w:pPr>
          </w:p>
        </w:tc>
      </w:tr>
      <w:tr>
        <w:trPr>
          <w:trHeight w:val="163"/>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w:t>
            </w:r>
          </w:p>
        </w:tc>
      </w:tr>
      <w:tr>
        <w:trPr>
          <w:trHeight w:val="163"/>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auto"/>
              </w:rPr>
              <w:t>Present value of future minimum lease payments</w:t>
            </w:r>
          </w:p>
        </w:tc>
        <w:tc>
          <w:tcPr>
            <w:tcW w:w="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3"/>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current obligations under leases</w:t>
            </w: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(156)</w:t>
            </w:r>
          </w:p>
        </w:tc>
      </w:tr>
      <w:tr>
        <w:trPr>
          <w:trHeight w:val="174"/>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auto"/>
              </w:rPr>
              <w:t>Long-term lease obligations</w:t>
            </w:r>
          </w:p>
        </w:tc>
        <w:tc>
          <w:tcPr>
            <w:tcW w:w="20" w:type="dxa"/>
            <w:vAlign w:val="bottom"/>
            <w:tcBorders>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874"/>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9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Commitments and Contingencies</w:t>
      </w:r>
    </w:p>
    <w:p>
      <w:pPr>
        <w:spacing w:after="0" w:line="185"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The Company previously engaged a financial advisor to provide services and the financial advisor has asserted that the Company owes additional funds in excess of amounts previously recognized. The Company disputes the financial advisor’s claim. As of the date of these condensed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Litigation</w:t>
      </w:r>
    </w:p>
    <w:p>
      <w:pPr>
        <w:spacing w:after="0" w:line="185" w:lineRule="exact"/>
        <w:rPr>
          <w:sz w:val="20"/>
          <w:szCs w:val="20"/>
          <w:color w:val="auto"/>
        </w:rPr>
      </w:pPr>
    </w:p>
    <w:p>
      <w:pPr>
        <w:jc w:val="both"/>
        <w:ind w:firstLine="258"/>
        <w:spacing w:after="0" w:line="261" w:lineRule="auto"/>
        <w:rPr>
          <w:sz w:val="20"/>
          <w:szCs w:val="20"/>
          <w:color w:val="auto"/>
        </w:rPr>
      </w:pPr>
      <w:r>
        <w:rPr>
          <w:rFonts w:ascii="Times New Roman" w:cs="Times New Roman" w:eastAsia="Times New Roman" w:hAnsi="Times New Roman"/>
          <w:sz w:val="14"/>
          <w:szCs w:val="14"/>
          <w:color w:val="auto"/>
        </w:rPr>
        <w:t>On March 13, 2026, Ydens Holdings, LLC and related individual plaintiffs filed a lawsuit in Orange County Superior Court against the Company and its subsidiary EMI Solutions, asserting breach of contract and related claims arising from the September 2022 Agreement and Plan of Merger under which the Company acquired EMI Solutions. The plaintiffs seek damages. The Merger Agreement contains a mandatory arbitration provision, and the Company moved to compel arbitration. The parties thereafter stipulated to arbitrate the claims and the claims will now proceed in arbitration. The Company is unable to predict the final outcome of this matter, but it does not currently believe that it will have a material adverse effect on its results of operations or financial position. Additionally, on March 10, 2026, Robert Ydens (“Ydens”) filed a lawsuit against EMI Solutions, LLC, the Company, Phil Sansone, and Keyvan Samini in Orange County Superior Court, asserting claims for violation of the California Labor Code for failure to pay an alleged retention bonus, failure to pay alleged accrued vacation, breach of his at-will employment agreement, failure to pay final wages, and waiting time penalties. Defendants have filed a Petition to Compel Arbitration, seeking to enforce the mandatory arbitration provision contained in Ydens’ employment agreement, which requires all disputes arising out of or relating to his employment to be resolved through final and binding arbitration before JAMS. The Company is unable to predict the final outcome of this matter, but it does not currently believe that it will have a material adverse effect on its results of operations or financial position.</w:t>
      </w:r>
    </w:p>
    <w:p>
      <w:pPr>
        <w:spacing w:after="0" w:line="146"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Indemnifications</w:t>
      </w:r>
    </w:p>
    <w:p>
      <w:pPr>
        <w:spacing w:after="0" w:line="185" w:lineRule="exact"/>
        <w:rPr>
          <w:sz w:val="20"/>
          <w:szCs w:val="20"/>
          <w:color w:val="auto"/>
        </w:rPr>
      </w:pPr>
    </w:p>
    <w:p>
      <w:pPr>
        <w:jc w:val="both"/>
        <w:ind w:firstLine="258"/>
        <w:spacing w:after="0" w:line="265" w:lineRule="auto"/>
        <w:rPr>
          <w:sz w:val="20"/>
          <w:szCs w:val="20"/>
          <w:color w:val="auto"/>
        </w:rPr>
      </w:pPr>
      <w:r>
        <w:rPr>
          <w:rFonts w:ascii="Times New Roman" w:cs="Times New Roman" w:eastAsia="Times New Roman" w:hAnsi="Times New Roman"/>
          <w:sz w:val="14"/>
          <w:szCs w:val="14"/>
          <w:color w:val="auto"/>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June 30, 2026 or September 30, 2025.</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color w:val="auto"/>
        </w:rPr>
        <w:t>Note 10 — Income Taxes</w:t>
      </w:r>
    </w:p>
    <w:p>
      <w:pPr>
        <w:spacing w:after="0" w:line="185" w:lineRule="exact"/>
        <w:rPr>
          <w:sz w:val="20"/>
          <w:szCs w:val="20"/>
          <w:color w:val="auto"/>
        </w:rPr>
      </w:pPr>
    </w:p>
    <w:p>
      <w:pPr>
        <w:jc w:val="both"/>
        <w:ind w:firstLine="258"/>
        <w:spacing w:after="0" w:line="262" w:lineRule="auto"/>
        <w:rPr>
          <w:sz w:val="20"/>
          <w:szCs w:val="20"/>
          <w:color w:val="auto"/>
        </w:rPr>
      </w:pPr>
      <w:r>
        <w:rPr>
          <w:rFonts w:ascii="Times New Roman" w:cs="Times New Roman" w:eastAsia="Times New Roman" w:hAnsi="Times New Roman"/>
          <w:sz w:val="14"/>
          <w:szCs w:val="14"/>
          <w:color w:val="auto"/>
        </w:rPr>
        <w:t>The Company recorded an income tax provision of $3 and an income tax benefit of $2 for the three months ended June 30, 2026 and 2025, respectively, and an income tax benefit of $18 and an income tax benefit of $9 for the nine months ended June 30, 2026 and 2025, respectively. The Company calculated the income tax provision (benefit) using the discrete year-to-date method. The Company’s income tax provision (benefit) differs from an amount calculated based on statutory tax rates principally due to the Company recording a valuation allowance against the net operating losses it generated during the periods.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potential limitations on the Company’s ability to carry forward net operating losses, ongoing tax planning, and forecasts of future taxable income on a jurisdiction-by-jurisdiction basis. Based on these factors, the Company has established a valuation allowance to reduce its net deferred tax assets to the amount that is more likely than not to be realized.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Equity</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amended and restated certificate of incorporation authorizes the issuance of preferred stock, Class A Common Stock and Class B Common Stock.</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assesses its preferred stock instruments at issuance and each reporting period for classification and derivative features requiring bifurcation.</w:t>
      </w:r>
    </w:p>
    <w:p>
      <w:pPr>
        <w:spacing w:after="0" w:line="183" w:lineRule="exact"/>
        <w:rPr>
          <w:sz w:val="20"/>
          <w:szCs w:val="20"/>
          <w:color w:val="auto"/>
        </w:rPr>
      </w:pPr>
    </w:p>
    <w:p>
      <w:pPr>
        <w:jc w:val="both"/>
        <w:ind w:firstLine="258"/>
        <w:spacing w:after="0" w:line="265" w:lineRule="auto"/>
        <w:rPr>
          <w:sz w:val="20"/>
          <w:szCs w:val="20"/>
          <w:color w:val="auto"/>
        </w:rPr>
      </w:pPr>
      <w:r>
        <w:rPr>
          <w:rFonts w:ascii="Times New Roman" w:cs="Times New Roman" w:eastAsia="Times New Roman" w:hAnsi="Times New Roman"/>
          <w:sz w:val="14"/>
          <w:szCs w:val="14"/>
          <w:color w:val="auto"/>
        </w:rPr>
        <w:t>The preferred stock is classified as mezzanine equity due to redemption features not solely within the Company’s control. For preferred stock presented as mezzanine equity that is not currently redeemable, the Company assesses the probability of the event that would lead to redemption. If it is probable that the equity instrument will become redeemable, the Company accretes changes in the redemption value over the period from the date of issuance, or from the date that it becomes probable that the instrument will become redeemable, if later, to the earliest redemption date of the instrument using an appropriate methodology. If an equity instrument classified as mezzanine equity is not probable of redemption, subsequent adjustment of the amounts presented in mezzanine equity is unnecessary.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Issuance of Preferred Stock and Preferred Warrants</w:t>
      </w:r>
    </w:p>
    <w:p>
      <w:pPr>
        <w:spacing w:after="0" w:line="185"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On May 19, 2026, the Company entered into a Securities Purchase Agreement (the “Kips Purchase Agreement”) with Kips Bay Select, LP (“Kips”), pursuant to which the Company agreed to sell to Kips (i) 2,000 shares of Series A 10% Convertible Preferred Stock (the “Preferred Shares”) for an aggregate purchase price of $2,000, reflecting an aggregate stated value of $2,400, and (ii) a Preferred Stock Purchase Warrant (the “Preferred Warrant”) to purchase up to an additional 6,000 shares of Series A 10% Convertible Preferred Stock at an exercise price of $1,000 per share. Kips funded $2,000 and $25 was withheld for legal fees, resulting in net proceeds to the Company of $1,975.</w:t>
      </w:r>
    </w:p>
    <w:p>
      <w:pPr>
        <w:spacing w:after="0" w:line="142"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The Company has classified the preferred stock as mezzanine equity on the condensed consolidated balance sheet, as the shares have certain redemption features contingent upon the occurrence or non-occurrence of certain events that are not solely in the control of the Company. The carrying value of the Series A convertible preferred stock, which includes the proceeds received upon issuance, has not been adjusted to liquidation value since the securities are not currently redeemable or probable to become redeemable.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Liquidation Preference</w:t>
      </w:r>
    </w:p>
    <w:p>
      <w:pPr>
        <w:spacing w:after="0" w:line="185" w:lineRule="exact"/>
        <w:rPr>
          <w:sz w:val="20"/>
          <w:szCs w:val="20"/>
          <w:color w:val="auto"/>
        </w:rPr>
      </w:pPr>
    </w:p>
    <w:p>
      <w:pPr>
        <w:jc w:val="both"/>
        <w:ind w:firstLine="258"/>
        <w:spacing w:after="0" w:line="265" w:lineRule="auto"/>
        <w:rPr>
          <w:sz w:val="20"/>
          <w:szCs w:val="20"/>
          <w:color w:val="auto"/>
        </w:rPr>
      </w:pPr>
      <w:r>
        <w:rPr>
          <w:rFonts w:ascii="Times New Roman" w:cs="Times New Roman" w:eastAsia="Times New Roman" w:hAnsi="Times New Roman"/>
          <w:sz w:val="14"/>
          <w:szCs w:val="14"/>
          <w:color w:val="auto"/>
        </w:rPr>
        <w:t>Upon any liquidation, dissolution or winding-up of the Company, whether voluntary or involuntary, holders of preferred stock shall be entitled to receive out of the assets, whether capital or surplus, of the Company an amount equal to the Stated Value of $1,200 per share, plus any accrued and unpaid dividends thereon and any other fees or liquidated damages then due and owing thereon under the Certificate of Designation (the “Certificate of Designation”), for each share of Preferred Stock before any distribution or payment shall be made to the holders of any junior securities, and if the assets of the Company shall be insufficient to pay in full such amounts, then the entire assets to be distributed to the holders of preferred stock shall be ratably distributed among the holders in accordance with the respective amounts that would be payable on such shares if all amounts payable thereon were paid in full.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 Rights</w:t>
      </w:r>
    </w:p>
    <w:p>
      <w:pPr>
        <w:spacing w:after="0" w:line="185"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Dividends are cumulative and accrue at a stated rate of 10.00% of the Stated Value per annum and are payable in cash, or at the Company’s option, shares of Series A 10% Convertible Preferred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Conversion Rights</w:t>
      </w:r>
    </w:p>
    <w:p>
      <w:pPr>
        <w:spacing w:after="0" w:line="185" w:lineRule="exact"/>
        <w:rPr>
          <w:sz w:val="20"/>
          <w:szCs w:val="20"/>
          <w:color w:val="auto"/>
        </w:rPr>
      </w:pPr>
    </w:p>
    <w:p>
      <w:pPr>
        <w:jc w:val="both"/>
        <w:ind w:firstLine="258"/>
        <w:spacing w:after="0" w:line="262" w:lineRule="auto"/>
        <w:rPr>
          <w:sz w:val="20"/>
          <w:szCs w:val="20"/>
          <w:color w:val="auto"/>
        </w:rPr>
      </w:pPr>
      <w:r>
        <w:rPr>
          <w:rFonts w:ascii="Times New Roman" w:cs="Times New Roman" w:eastAsia="Times New Roman" w:hAnsi="Times New Roman"/>
          <w:sz w:val="14"/>
          <w:szCs w:val="14"/>
          <w:color w:val="auto"/>
        </w:rPr>
        <w:t xml:space="preserve">The Preferred Shares and any shares issued upon exercise of the Preferred Warrant are convertible into shares of our Class A Common Stock. The Conversion Price is 82% of the lowest 8-day VWAP of the Class A Common Stock immediately prior to and including the date of the conversion notice, subject to adjustments. The number of shares of Class A Common Stock issuable upon conversion is equal to the aggregate stated value plus accrued and unpaid dividends divided by the Conversion Price. The Company determined that the conversion feature embedded within its preferred stock requires bifurcation under the guidance of ASC 815, Derivatives and Hedging Activities. As shares of Series A 10% Convertible Preferred Stock are convertible at any time at the above terms, the estimated fair value of the preferred stock, the bifurcated conversion feature, and the Preferred Warrant exceeded the amount of proceeds received from the investor. As a result, the Company recognized a loss on issuance of $3,707, included in “Loss on issuance of preferred shares and liability-classified warrants” on the condensed consolidated statements of operations and comprehensive loss. See Note 14,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185"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Holders of the redeemable convertible preferred stock generally have no voting rights. However, as long as any shares of redeemable convertible preferred stock are outstanding, the Company shall not, without the affirmative vote of the holders of a majority of the then outstanding shares of redeemable convertible preferred stock, take certain specified actions such as amending the terms of the preferred shares that would have a material adverse affect on the economics of the preferred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i w:val="1"/>
          <w:iCs w:val="1"/>
          <w:color w:val="auto"/>
        </w:rPr>
        <w:t>Registration Rights Agreement</w:t>
      </w:r>
    </w:p>
    <w:p>
      <w:pPr>
        <w:spacing w:after="0" w:line="185"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In connection with the transaction, on May 19, 2026, the Company also entered into a Registration Rights Agreement with Kips (the “Registration Rights Agreement”) pursuant to which the Company agreed to register the resale of shares of Class A Common Stock issuable upon conversion of the Preferred Shares and upon exercise of the Preferred Warrant.</w:t>
      </w:r>
    </w:p>
    <w:p>
      <w:pPr>
        <w:spacing w:after="0" w:line="123" w:lineRule="exact"/>
        <w:rPr>
          <w:sz w:val="20"/>
          <w:szCs w:val="20"/>
          <w:color w:val="auto"/>
        </w:rPr>
      </w:pPr>
    </w:p>
    <w:p>
      <w:pPr>
        <w:jc w:val="both"/>
        <w:ind w:firstLine="258"/>
        <w:spacing w:after="0" w:line="264" w:lineRule="auto"/>
        <w:rPr>
          <w:sz w:val="20"/>
          <w:szCs w:val="20"/>
          <w:color w:val="auto"/>
        </w:rPr>
      </w:pPr>
      <w:r>
        <w:rPr>
          <w:rFonts w:ascii="Times New Roman" w:cs="Times New Roman" w:eastAsia="Times New Roman" w:hAnsi="Times New Roman"/>
          <w:sz w:val="14"/>
          <w:szCs w:val="14"/>
          <w:color w:val="auto"/>
        </w:rPr>
        <w:t>On June 18, 2026, the Company and Kips entered into Amendment No. 1 to the Registration Rights Agreement, pursuant to which the filing and effectiveness deadlines were extended and prior remedies were waived. In addition, The Company and Kips agreed to revise the Original Issue Date of the Preferred Shares to be June 18, 2026. As a non-refundable registration-extension fee, fully earned upon execution of the amendment, the Company issued 294,117 shares of Class A Common Stock (the “Extension Shares”) on July 17, 2026, valued at $600 based on a price of $2.04 per share, which exceeded the Nasdaq Listing Rule 5635(d) Minimum Price of $2.036. Our registration statement on Form S-1 (File No. 333-296928) was filed June 22, 2026 and declared effective July 16, 2026. The Company recorded a charge of $600 in the three months ended June 30, 2026 with respect to the Extension Shares, which was recorded in financing costs expensed in the condensed consolidated statements of operations and comprehensive loss.</w:t>
      </w:r>
    </w:p>
    <w:p>
      <w:pPr>
        <w:spacing w:after="0" w:line="141" w:lineRule="exact"/>
        <w:rPr>
          <w:sz w:val="20"/>
          <w:szCs w:val="20"/>
          <w:color w:val="auto"/>
        </w:rPr>
      </w:pPr>
    </w:p>
    <w:p>
      <w:pPr>
        <w:jc w:val="both"/>
        <w:ind w:firstLine="258"/>
        <w:spacing w:after="0" w:line="276" w:lineRule="auto"/>
        <w:rPr>
          <w:sz w:val="20"/>
          <w:szCs w:val="20"/>
          <w:color w:val="auto"/>
        </w:rPr>
      </w:pPr>
      <w:r>
        <w:rPr>
          <w:rFonts w:ascii="Times New Roman" w:cs="Times New Roman" w:eastAsia="Times New Roman" w:hAnsi="Times New Roman"/>
          <w:sz w:val="14"/>
          <w:szCs w:val="14"/>
          <w:color w:val="auto"/>
        </w:rPr>
        <w:t xml:space="preserve">In addition to the exchange agreements discussed in Note 7,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during the nine months ended June 30, 2025, the Company and the holders of certain of the Company’s accounts payable and accrued expenses and other current liabilities agreed to settle the outstanding balances, totaling $2,122, for 134,062 shares of the Company’s Class A Common Stock. The Company recognized a gain on the settlements of $1,469 recorded in other non-operating (gains) losses, net, in the condensed consolidated statements of operations and comprehensive loss.</w:t>
      </w:r>
    </w:p>
    <w:p>
      <w:pPr>
        <w:spacing w:after="0" w:line="135"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During the nine months ended June 30, 2026, in connection with a modification of the RaGE earnout agreement, the Company issued 464,952 shares of the Company’s Class A Common Stock. The Company recognized an additional expense on the issuance of $1,121 recorded in selling, general and administrative expenses in the condensed consolidated statements of operations and comprehensive loss.</w:t>
      </w:r>
    </w:p>
    <w:p>
      <w:pPr>
        <w:spacing w:after="0" w:line="135" w:lineRule="exact"/>
        <w:rPr>
          <w:sz w:val="20"/>
          <w:szCs w:val="20"/>
          <w:color w:val="auto"/>
        </w:rPr>
      </w:pPr>
    </w:p>
    <w:p>
      <w:pPr>
        <w:jc w:val="both"/>
        <w:ind w:firstLine="258"/>
        <w:spacing w:after="0" w:line="261" w:lineRule="auto"/>
        <w:rPr>
          <w:sz w:val="20"/>
          <w:szCs w:val="20"/>
          <w:color w:val="auto"/>
        </w:rPr>
      </w:pPr>
      <w:r>
        <w:rPr>
          <w:rFonts w:ascii="Times New Roman" w:cs="Times New Roman" w:eastAsia="Times New Roman" w:hAnsi="Times New Roman"/>
          <w:sz w:val="14"/>
          <w:szCs w:val="14"/>
          <w:color w:val="auto"/>
        </w:rPr>
        <w:t>On April 2, 2026, the Company’s board of directors approved a reverse stock split of its Class A Common Stock and Class B Common Stock at a ratio of 1-for-10 (the “Reverse Stock Split”). The Reverse Stock Split became effective at 4:00 p.m. Eastern Time on April 6, 2026, and the Company’s Class A Common Stock began trading on a post-split adjusted basis on April 7, 2026. The number of authorized shares and par value per share were not adjusted as a result of the Reverse Stock Split.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The number of Public Warrants and Private Warrants outstanding was not reduced as a result of the Reverse Stock Split. Rather, in accordance with the terms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condensed consolidated financial statements. No fractional shares were issued in connection with the Reverse Stock Split, and cash was paid in lieu of fractional shares.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Issuance of Class A Common Stock</w:t>
      </w:r>
    </w:p>
    <w:p>
      <w:pPr>
        <w:spacing w:after="0" w:line="185" w:lineRule="exact"/>
        <w:rPr>
          <w:sz w:val="20"/>
          <w:szCs w:val="20"/>
          <w:color w:val="auto"/>
        </w:rPr>
      </w:pPr>
    </w:p>
    <w:p>
      <w:pPr>
        <w:jc w:val="both"/>
        <w:ind w:firstLine="258"/>
        <w:spacing w:after="0" w:line="261" w:lineRule="auto"/>
        <w:rPr>
          <w:sz w:val="20"/>
          <w:szCs w:val="20"/>
          <w:color w:val="auto"/>
        </w:rPr>
      </w:pPr>
      <w:r>
        <w:rPr>
          <w:rFonts w:ascii="Times New Roman" w:cs="Times New Roman" w:eastAsia="Times New Roman" w:hAnsi="Times New Roman"/>
          <w:sz w:val="14"/>
          <w:szCs w:val="14"/>
          <w:color w:val="auto"/>
        </w:rPr>
        <w:t>On January 6, 2026, the Company entered into certain securities purchase agreements with unrelated investors relating to a public offering of 3,000,000 shares of its Class A Common Stock at a price to the public of $2.00 per share (the “Offering”). In connection with the Offering, the Company entered into a placement agency agreement, pursuant to which the Company agreed to pay the placement agent a cash placement fee equal to 8.0% of the aggregate gross proceeds raised in the Offering. Subject to certain conditions, the Company also agreed to reimburse the placement agent up to 1.0% of the gross proceeds raised in the Offering for non-accountable expenses and up to $100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$5,360, after deducting placement agent fees and commissions and other estimated offering expenses payable by the Company. As a result of the Offering, the Company issued 220,000 shares of its Class A Common Stock to a lender as make-whole shares, pursuant to the terms of a promissory note.</w:t>
      </w:r>
    </w:p>
    <w:p>
      <w:pPr>
        <w:spacing w:after="0" w:line="149" w:lineRule="exact"/>
        <w:rPr>
          <w:sz w:val="20"/>
          <w:szCs w:val="20"/>
          <w:color w:val="auto"/>
        </w:rPr>
      </w:pPr>
    </w:p>
    <w:p>
      <w:pPr>
        <w:jc w:val="both"/>
        <w:ind w:firstLine="258"/>
        <w:spacing w:after="0" w:line="272" w:lineRule="auto"/>
        <w:rPr>
          <w:sz w:val="20"/>
          <w:szCs w:val="20"/>
          <w:color w:val="auto"/>
        </w:rPr>
      </w:pPr>
      <w:r>
        <w:rPr>
          <w:rFonts w:ascii="Times New Roman" w:cs="Times New Roman" w:eastAsia="Times New Roman" w:hAnsi="Times New Roman"/>
          <w:sz w:val="14"/>
          <w:szCs w:val="14"/>
          <w:color w:val="auto"/>
        </w:rPr>
        <w:t>During the nine months ended June 30, 2025, the Company sold 52,173 shares of its Class A Common Stock to an unaffiliated investor for net proceeds of $600. The Company also issued 61,059 shares of its Class A Common Stock to certain vendors in settlement of $700 of accounts payable. In connection therewith, the Company recognized a gain of $147. Also during the nine months ended June 30, 2025, holders of 12,500 shares of the Company’s Class B Common Stock elected to convert such shares into the same number of shares of the Company’s Class A Common Stock.</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i w:val="1"/>
          <w:iCs w:val="1"/>
          <w:color w:val="auto"/>
        </w:rPr>
        <w:t>Termination of At the Market Offering Agreement</w:t>
      </w:r>
    </w:p>
    <w:p>
      <w:pPr>
        <w:spacing w:after="0" w:line="185"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On October 21, 2025, the Company entered into an At The Market Offering Agreement (the “ATM Agreement”) with Roth Capital Partners, LLC (“Manager”) under which the Company may offer and sell, from time to time at its sole discretion, up to $15,800 in shares of its Class A Common Stock through the Manager acting in its capacity as its sales agent. On June 26, 2026, the Company terminated its At The Market Offering Agreement and filed a post-effective amendment to deregister approximately 900,000 shares of Class A Common Stock previously registered for potential sale under the facility.</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the nine months ended June 30, 2026, the Company sold 191,449 shares of its Class A Common Stock under the ATM Agreement, for net proceeds (after commissions) of $1,254.</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June 30, 2026, the number of shares of Class A Common Stock available for issuance under the Company’s amended and restated articles of incorporation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Authorized number of shares of Class A Common Stock</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285,000,000</w:t>
            </w:r>
          </w:p>
        </w:tc>
      </w:tr>
      <w:tr>
        <w:trPr>
          <w:trHeight w:val="172"/>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auto"/>
              </w:rPr>
              <w:t>Less:</w:t>
            </w: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 Common Stock outstanding</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15,001,187</w:t>
            </w:r>
          </w:p>
        </w:tc>
      </w:tr>
      <w:tr>
        <w:trPr>
          <w:trHeight w:val="172"/>
        </w:trPr>
        <w:tc>
          <w:tcPr>
            <w:tcW w:w="9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Reserve for conversion of Class B Common Stock</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200,491</w:t>
            </w:r>
          </w:p>
        </w:tc>
      </w:tr>
      <w:tr>
        <w:trPr>
          <w:trHeight w:val="172"/>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Reserve for exercise of common stock warrants</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2,593,074</w:t>
            </w:r>
          </w:p>
        </w:tc>
      </w:tr>
      <w:tr>
        <w:trPr>
          <w:trHeight w:val="172"/>
        </w:trPr>
        <w:tc>
          <w:tcPr>
            <w:tcW w:w="9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Reserve for Earnout shares</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350,000</w:t>
            </w:r>
          </w:p>
        </w:tc>
      </w:tr>
      <w:tr>
        <w:trPr>
          <w:trHeight w:val="172"/>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Reserve for Extension shares</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294,117</w:t>
            </w:r>
          </w:p>
        </w:tc>
      </w:tr>
      <w:tr>
        <w:trPr>
          <w:trHeight w:val="204"/>
        </w:trPr>
        <w:tc>
          <w:tcPr>
            <w:tcW w:w="9040" w:type="dxa"/>
            <w:vAlign w:val="bottom"/>
          </w:tcPr>
          <w:p>
            <w:pPr>
              <w:ind w:left="140"/>
              <w:spacing w:after="0" w:line="204" w:lineRule="exact"/>
              <w:rPr>
                <w:sz w:val="20"/>
                <w:szCs w:val="20"/>
                <w:color w:val="auto"/>
              </w:rPr>
            </w:pPr>
            <w:r>
              <w:rPr>
                <w:rFonts w:ascii="Times New Roman" w:cs="Times New Roman" w:eastAsia="Times New Roman" w:hAnsi="Times New Roman"/>
                <w:sz w:val="14"/>
                <w:szCs w:val="14"/>
                <w:color w:val="auto"/>
              </w:rPr>
              <w:t xml:space="preserve">Reserve for conversion of Series A 10% Convertible Preferred Stock and exercise of Preferred Warrant </w:t>
            </w:r>
            <w:r>
              <w:rPr>
                <w:rFonts w:ascii="Times New Roman" w:cs="Times New Roman" w:eastAsia="Times New Roman" w:hAnsi="Times New Roman"/>
                <w:sz w:val="23"/>
                <w:szCs w:val="23"/>
                <w:color w:val="auto"/>
                <w:vertAlign w:val="superscript"/>
              </w:rPr>
              <w:t>1</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9040" w:type="dxa"/>
            <w:vAlign w:val="bottom"/>
            <w:shd w:val="clear" w:color="auto" w:fill="CCEEFF"/>
          </w:tcPr>
          <w:p>
            <w:pPr>
              <w:ind w:left="140"/>
              <w:spacing w:after="0" w:line="204" w:lineRule="exact"/>
              <w:rPr>
                <w:sz w:val="20"/>
                <w:szCs w:val="20"/>
                <w:color w:val="auto"/>
              </w:rPr>
            </w:pPr>
            <w:r>
              <w:rPr>
                <w:rFonts w:ascii="Times New Roman" w:cs="Times New Roman" w:eastAsia="Times New Roman" w:hAnsi="Times New Roman"/>
                <w:sz w:val="14"/>
                <w:szCs w:val="14"/>
                <w:color w:val="auto"/>
              </w:rPr>
              <w:t>Reserve for conversion of convertible notes payable measured at fair value</w:t>
            </w:r>
            <w:r>
              <w:rPr>
                <w:rFonts w:ascii="Times New Roman" w:cs="Times New Roman" w:eastAsia="Times New Roman" w:hAnsi="Times New Roman"/>
                <w:sz w:val="23"/>
                <w:szCs w:val="23"/>
                <w:color w:val="auto"/>
                <w:vertAlign w:val="superscript"/>
              </w:rPr>
              <w:t>2</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9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options and RSUs</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711,217</w:t>
            </w:r>
          </w:p>
        </w:tc>
      </w:tr>
      <w:tr>
        <w:trPr>
          <w:trHeight w:val="172"/>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Awards available for grant under 2023 Equity Incentive Plan</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357,047</w:t>
            </w:r>
          </w:p>
        </w:tc>
      </w:tr>
      <w:tr>
        <w:trPr>
          <w:trHeight w:val="183"/>
        </w:trPr>
        <w:tc>
          <w:tcPr>
            <w:tcW w:w="9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Awards available for grant under 2023 Employee Stock Purchase Plan</w:t>
            </w: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68,705</w:t>
            </w:r>
          </w:p>
        </w:tc>
      </w:tr>
      <w:tr>
        <w:trPr>
          <w:trHeight w:val="174"/>
        </w:trPr>
        <w:tc>
          <w:tcPr>
            <w:tcW w:w="9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of Class A Common Stock available for issuance</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265,424,162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90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179006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90065" cy="6985"/>
                    </a:xfrm>
                    <a:prstGeom prst="rect">
                      <a:avLst/>
                    </a:prstGeom>
                    <a:noFill/>
                  </pic:spPr>
                </pic:pic>
              </a:graphicData>
            </a:graphic>
          </wp:anchor>
        </w:drawing>
      </w:r>
    </w:p>
    <w:p>
      <w:pPr>
        <w:spacing w:after="0" w:line="159" w:lineRule="exact"/>
        <w:rPr>
          <w:sz w:val="20"/>
          <w:szCs w:val="20"/>
          <w:color w:val="auto"/>
        </w:rPr>
      </w:pPr>
    </w:p>
    <w:p>
      <w:pPr>
        <w:jc w:val="both"/>
        <w:ind w:left="260" w:hanging="98"/>
        <w:spacing w:after="0" w:line="196" w:lineRule="auto"/>
        <w:tabs>
          <w:tab w:leader="none" w:pos="260" w:val="left"/>
        </w:tabs>
        <w:numPr>
          <w:ilvl w:val="0"/>
          <w:numId w:val="4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amounts issuable upon conversion of the preferred shares or the exercise of the warrants for the preferred shares were not included here as of June 30, 2026, as the number of dilutive shares is not determinable until conversion or exercise. Using the lowest eight-day volume weighted average price of the Class A Common Shares on June 30, 2026, the Company estimates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that approximately 6,367,975 shares would be issuable upon conversion of the preferred shares and exercise of the warrants as of June 30, 2026.</w:t>
      </w:r>
    </w:p>
    <w:p>
      <w:pPr>
        <w:spacing w:after="0" w:line="11" w:lineRule="exact"/>
        <w:rPr>
          <w:sz w:val="20"/>
          <w:szCs w:val="20"/>
          <w:color w:val="auto"/>
        </w:rPr>
      </w:pPr>
    </w:p>
    <w:p>
      <w:pPr>
        <w:jc w:val="both"/>
        <w:ind w:left="260" w:hanging="98"/>
        <w:spacing w:after="0" w:line="207" w:lineRule="auto"/>
        <w:tabs>
          <w:tab w:leader="none" w:pos="260" w:val="left"/>
        </w:tabs>
        <w:numPr>
          <w:ilvl w:val="0"/>
          <w:numId w:val="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amounts issuable upon conversion of the convertible notes measured at fair value were not included here as of June 30, 2026, as the number of dilutive shares is not determinable until conversion Using the lowest eight-day volume weighted average price of the Class A Common Shares on June 30, 2026, the Company estimates that approximately 2,570,688 shares would be issuable upon conversion as of June 30, 2026.</w:t>
      </w: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has never declared or paid any dividends on any class of its equity securities and does not expect to do so in the near future.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12 — Warrants</w:t>
            </w:r>
          </w:p>
        </w:tc>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4"/>
        </w:trPr>
        <w:tc>
          <w:tcPr>
            <w:tcW w:w="70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Outstanding warrants for the Company’s Class A Common Stock consist of the following:</w:t>
            </w: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5"/>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 Per Share:</w:t>
            </w:r>
          </w:p>
        </w:tc>
        <w:tc>
          <w:tcPr>
            <w:tcW w:w="22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20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164"/>
        </w:trPr>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Warrants and Private Warrants - $57.90</w:t>
            </w:r>
          </w:p>
        </w:tc>
        <w:tc>
          <w:tcPr>
            <w:tcW w:w="22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900,000</w:t>
            </w:r>
          </w:p>
        </w:tc>
        <w:tc>
          <w:tcPr>
            <w:tcW w:w="340" w:type="dxa"/>
            <w:vAlign w:val="bottom"/>
            <w:tcBorders>
              <w:top w:val="single" w:sz="8" w:color="CCEEFF"/>
            </w:tcBorders>
            <w:shd w:val="clear" w:color="auto" w:fill="CCEEFF"/>
          </w:tcPr>
          <w:p>
            <w:pPr>
              <w:spacing w:after="0"/>
              <w:rPr>
                <w:sz w:val="14"/>
                <w:szCs w:val="14"/>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900,000</w:t>
            </w:r>
          </w:p>
        </w:tc>
        <w:tc>
          <w:tcPr>
            <w:tcW w:w="100" w:type="dxa"/>
            <w:vAlign w:val="bottom"/>
            <w:tcBorders>
              <w:top w:val="single" w:sz="8" w:color="CCEEFF"/>
            </w:tcBorders>
            <w:shd w:val="clear" w:color="auto" w:fill="CCEEFF"/>
          </w:tcPr>
          <w:p>
            <w:pPr>
              <w:spacing w:after="0"/>
              <w:rPr>
                <w:sz w:val="14"/>
                <w:szCs w:val="14"/>
                <w:color w:val="auto"/>
              </w:rPr>
            </w:pPr>
          </w:p>
        </w:tc>
      </w:tr>
      <w:tr>
        <w:trPr>
          <w:trHeight w:val="172"/>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Warrants:</w:t>
            </w:r>
          </w:p>
        </w:tc>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7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$0.00 Extension Shares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294,117</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6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$0.10</w:t>
            </w:r>
          </w:p>
        </w:tc>
        <w:tc>
          <w:tcPr>
            <w:tcW w:w="220" w:type="dxa"/>
            <w:vAlign w:val="bottom"/>
          </w:tcPr>
          <w:p>
            <w:pPr>
              <w:spacing w:after="0"/>
              <w:rPr>
                <w:sz w:val="14"/>
                <w:szCs w:val="14"/>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38,000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38,000</w:t>
            </w:r>
          </w:p>
        </w:tc>
      </w:tr>
      <w:tr>
        <w:trPr>
          <w:trHeight w:val="172"/>
        </w:trPr>
        <w:tc>
          <w:tcPr>
            <w:tcW w:w="7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$8.20 to $9.60</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632,857</w:t>
            </w:r>
          </w:p>
        </w:tc>
        <w:tc>
          <w:tcPr>
            <w:tcW w:w="34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632,857</w:t>
            </w:r>
          </w:p>
        </w:tc>
      </w:tr>
      <w:tr>
        <w:trPr>
          <w:trHeight w:val="172"/>
        </w:trPr>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$10.80 to $11.80</w:t>
            </w: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1,002,075</w:t>
            </w:r>
          </w:p>
        </w:tc>
        <w:tc>
          <w:tcPr>
            <w:tcW w:w="340" w:type="dxa"/>
            <w:vAlign w:val="bottom"/>
          </w:tcPr>
          <w:p>
            <w:pPr>
              <w:spacing w:after="0"/>
              <w:rPr>
                <w:sz w:val="14"/>
                <w:szCs w:val="14"/>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902,075</w:t>
            </w:r>
          </w:p>
        </w:tc>
      </w:tr>
      <w:tr>
        <w:trPr>
          <w:trHeight w:val="183"/>
        </w:trPr>
        <w:tc>
          <w:tcPr>
            <w:tcW w:w="7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$17.38 to $20.00</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20,142</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35,636</w:t>
            </w:r>
          </w:p>
        </w:tc>
      </w:tr>
      <w:tr>
        <w:trPr>
          <w:trHeight w:val="163"/>
        </w:trPr>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2,887,191</w:t>
            </w:r>
          </w:p>
        </w:tc>
        <w:tc>
          <w:tcPr>
            <w:tcW w:w="340" w:type="dxa"/>
            <w:vAlign w:val="bottom"/>
          </w:tcPr>
          <w:p>
            <w:pPr>
              <w:spacing w:after="0"/>
              <w:rPr>
                <w:sz w:val="14"/>
                <w:szCs w:val="14"/>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2,508,568</w:t>
            </w:r>
          </w:p>
        </w:tc>
        <w:tc>
          <w:tcPr>
            <w:tcW w:w="100" w:type="dxa"/>
            <w:vAlign w:val="bottom"/>
          </w:tcPr>
          <w:p>
            <w:pPr>
              <w:spacing w:after="0"/>
              <w:rPr>
                <w:sz w:val="14"/>
                <w:szCs w:val="14"/>
                <w:color w:val="auto"/>
              </w:rPr>
            </w:pPr>
          </w:p>
        </w:tc>
      </w:tr>
      <w:tr>
        <w:trPr>
          <w:trHeight w:val="334"/>
        </w:trPr>
        <w:tc>
          <w:tcPr>
            <w:tcW w:w="70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Outstanding warrants for the Company’s Series A 10% Convertible Preferred Stock consist of the following:</w:t>
            </w: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5"/>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Range of Exercise Prices Per Share:</w:t>
            </w:r>
          </w:p>
        </w:tc>
        <w:tc>
          <w:tcPr>
            <w:tcW w:w="22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20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175"/>
        </w:trPr>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Warrant - $1,000.00</w:t>
            </w:r>
          </w:p>
        </w:tc>
        <w:tc>
          <w:tcPr>
            <w:tcW w:w="22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34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63"/>
        </w:trPr>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340" w:type="dxa"/>
            <w:vAlign w:val="bottom"/>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r>
      <w:tr>
        <w:trPr>
          <w:trHeight w:val="340"/>
        </w:trPr>
        <w:tc>
          <w:tcPr>
            <w:tcW w:w="7000" w:type="dxa"/>
            <w:vAlign w:val="bottom"/>
            <w:tcBorders>
              <w:bottom w:val="single" w:sz="8" w:color="auto"/>
            </w:tcBorders>
            <w:gridSpan w:val="2"/>
          </w:tcPr>
          <w:p>
            <w:pPr>
              <w:ind w:left="5500"/>
              <w:spacing w:after="0"/>
              <w:rPr>
                <w:sz w:val="20"/>
                <w:szCs w:val="20"/>
                <w:color w:val="auto"/>
              </w:rPr>
            </w:pPr>
            <w:r>
              <w:rPr>
                <w:rFonts w:ascii="Times New Roman" w:cs="Times New Roman" w:eastAsia="Times New Roman" w:hAnsi="Times New Roman"/>
                <w:sz w:val="14"/>
                <w:szCs w:val="14"/>
                <w:color w:val="auto"/>
              </w:rPr>
              <w:t>F-17</w:t>
            </w:r>
          </w:p>
        </w:tc>
        <w:tc>
          <w:tcPr>
            <w:tcW w:w="1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75"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i w:val="1"/>
          <w:iCs w:val="1"/>
          <w:color w:val="auto"/>
        </w:rPr>
        <w:t>Liability-Classified Warrants</w:t>
      </w:r>
    </w:p>
    <w:p>
      <w:pPr>
        <w:spacing w:after="0" w:line="185" w:lineRule="exact"/>
        <w:rPr>
          <w:sz w:val="20"/>
          <w:szCs w:val="20"/>
          <w:color w:val="auto"/>
        </w:rPr>
      </w:pPr>
    </w:p>
    <w:p>
      <w:pPr>
        <w:jc w:val="both"/>
        <w:ind w:firstLine="258"/>
        <w:spacing w:after="0" w:line="265" w:lineRule="auto"/>
        <w:rPr>
          <w:sz w:val="20"/>
          <w:szCs w:val="20"/>
          <w:color w:val="auto"/>
        </w:rPr>
      </w:pPr>
      <w:r>
        <w:rPr>
          <w:rFonts w:ascii="Times New Roman" w:cs="Times New Roman" w:eastAsia="Times New Roman" w:hAnsi="Times New Roman"/>
          <w:sz w:val="14"/>
          <w:szCs w:val="14"/>
          <w:color w:val="auto"/>
        </w:rPr>
        <w:t xml:space="preserve">The Company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the Company’s stock and were classified as liabilities. At their respective dates of issuance, the Company recognized a liability for each of the liability-classified warrants in the amount of its estimated fair value using the Black-Scholes option-pricing or other methodology as appropriate. See Note 14,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The Company subsequently adjusts the carrying amount of the liability for each warrant to its estimated fair value as of the end of each reporting period (or through the warrants’ respective dates of exercise or modification, if earlier).</w:t>
      </w:r>
    </w:p>
    <w:p>
      <w:pPr>
        <w:spacing w:after="0" w:line="144"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On October 24, 2025, the Company entered into amendments to certain liability-classified warrants to purchase an aggregate of 1,337,549 shares of its Class A Common Stock. The amendments revised certain terms of the warrants, including terms that could potentially require cash settlement, such that under the guidance in ASC 480 and ASC 815, the warrants are equity-classified financial instruments. The amendments did not affect any terms of the warrants that are inputs into the estimation of the fair value of warrants under the Black-Scholes option pricing model, which the Company uses to estimate the fair value of warrants.</w:t>
      </w:r>
    </w:p>
    <w:p>
      <w:pPr>
        <w:spacing w:after="0" w:line="142"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As a result of the amendments to the warrants, the Company remeasured the related liabilities to their estimated fair value of $6,912 as of the date of the amendments and reclassified this amount from “Liability-classified warrants” to “Additional paid-in capital” in the condensed consolidated balance sheet. As consideration for these amendments, the Company issued the warrant holder an additional warrant to purchase 100,000 shares of Class A Common Stock at a price of $10.80 per share. The Company recognized the $514 fair value of the additional warrant as an expense, included in “Other non-operating losses, net” in the condensed consolidated statements of operations and comprehensive loss for the nine months ended June 30, 2026.</w:t>
      </w:r>
    </w:p>
    <w:p>
      <w:pPr>
        <w:spacing w:after="0" w:line="142" w:lineRule="exact"/>
        <w:rPr>
          <w:sz w:val="20"/>
          <w:szCs w:val="20"/>
          <w:color w:val="auto"/>
        </w:rPr>
      </w:pPr>
    </w:p>
    <w:p>
      <w:pPr>
        <w:jc w:val="both"/>
        <w:ind w:firstLine="258"/>
        <w:spacing w:after="0" w:line="272" w:lineRule="auto"/>
        <w:rPr>
          <w:sz w:val="20"/>
          <w:szCs w:val="20"/>
          <w:color w:val="auto"/>
        </w:rPr>
      </w:pPr>
      <w:r>
        <w:rPr>
          <w:rFonts w:ascii="Times New Roman" w:cs="Times New Roman" w:eastAsia="Times New Roman" w:hAnsi="Times New Roman"/>
          <w:sz w:val="14"/>
          <w:szCs w:val="14"/>
          <w:color w:val="auto"/>
        </w:rPr>
        <w:t>As a result of changes in the fair value of liability-classified warrants outstanding during the periods, for the nine months ended June 30, 2026 and 2025, the Company recognized net non-cash losses of $320 and net non-cash gains of $1,237, respectively, which are included in “Change in fair value of warrants” in the condensed consolidated statements of operations and comprehensive loss. As of June 30, 2026 and September 30, 2025, the related liabilities of $3,047 and $6,859, respectively, are included in “Liability-classified warrants” in the condensed consolidated balance sheets.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Stock-Based Compensation</w:t>
      </w:r>
    </w:p>
    <w:p>
      <w:pPr>
        <w:spacing w:after="0" w:line="185"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The Company’s 2023 Equity Incentive Plan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June 30, 2026, 357,047 shares of the Company’s Class A Common Stock are available for the grant of awards under the 2023 Equity Incentive 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pacing w:after="0" w:line="185"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During the nine months ended June 30, 2025, the Company and a former employee entered into certain agreements wherein the Company agreed to accelerate the vesting of 99,999 common stock warrants and grant the holder an additional 25,000 warrants to purchase shares of its Class A Common Stock. The warrants are immediately exercisable and have an exercise price of $0.10 per share. Subsequently, the Company agreed to cancel 45,000 of these common stock warrants and replace them with the same number of fully vested RSUs. As a result of the acceleration of vesting and the grant of the warrants, during the nine months ended June 30, 2025 the Company recognized additional stock-based compensation expense of $6,917.</w:t>
      </w:r>
    </w:p>
    <w:p>
      <w:pPr>
        <w:sectPr>
          <w:pgSz w:w="11900" w:h="16838" w:orient="portrait"/>
          <w:cols w:equalWidth="0" w:num="1">
            <w:col w:w="11280"/>
          </w:cols>
          <w:pgMar w:left="300" w:top="575" w:right="319" w:bottom="1440" w:gutter="0" w:footer="0" w:header="0"/>
        </w:sectPr>
      </w:pP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activity in the Company’s RSUs for the nine months ended June 30, 2026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at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7160260" cy="1162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116205"/>
                    </a:xfrm>
                    <a:prstGeom prst="rect">
                      <a:avLst/>
                    </a:prstGeom>
                    <a:noFill/>
                  </pic:spPr>
                </pic:pic>
              </a:graphicData>
            </a:graphic>
          </wp:anchor>
        </w:drawing>
      </w:r>
    </w:p>
    <w:p>
      <w:pPr>
        <w:spacing w:after="0" w:line="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Granted</w:t>
      </w:r>
    </w:p>
    <w:p>
      <w:pPr>
        <w:spacing w:after="0" w:line="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092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Vested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at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-93980</wp:posOffset>
            </wp:positionV>
            <wp:extent cx="7160260" cy="1295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129540"/>
                    </a:xfrm>
                    <a:prstGeom prst="rect">
                      <a:avLst/>
                    </a:prstGeom>
                    <a:noFill/>
                  </pic:spPr>
                </pic:pic>
              </a:graphicData>
            </a:graphic>
          </wp:anchor>
        </w:drawing>
      </w:r>
    </w:p>
    <w:p>
      <w:pPr>
        <w:spacing w:after="0" w:line="2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72"/>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2"/>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88"/>
        </w:trPr>
        <w:tc>
          <w:tcPr>
            <w:tcW w:w="22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4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Unit</w:t>
            </w:r>
          </w:p>
        </w:tc>
      </w:tr>
      <w:tr>
        <w:trPr>
          <w:trHeight w:val="149"/>
        </w:trPr>
        <w:tc>
          <w:tcPr>
            <w:tcW w:w="192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954,562</w:t>
            </w:r>
          </w:p>
        </w:tc>
        <w:tc>
          <w:tcPr>
            <w:tcW w:w="34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42.10</w:t>
            </w:r>
          </w:p>
        </w:tc>
        <w:tc>
          <w:tcPr>
            <w:tcW w:w="20" w:type="dxa"/>
            <w:vAlign w:val="bottom"/>
          </w:tcPr>
          <w:p>
            <w:pPr>
              <w:spacing w:after="0"/>
              <w:rPr>
                <w:sz w:val="12"/>
                <w:szCs w:val="12"/>
                <w:color w:val="auto"/>
              </w:rPr>
            </w:pPr>
          </w:p>
        </w:tc>
      </w:tr>
      <w:tr>
        <w:trPr>
          <w:trHeight w:val="172"/>
        </w:trPr>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194,286</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2.67</w:t>
            </w:r>
          </w:p>
        </w:tc>
      </w:tr>
      <w:tr>
        <w:trPr>
          <w:trHeight w:val="172"/>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(18,773)</w:t>
            </w:r>
          </w:p>
        </w:tc>
        <w:tc>
          <w:tcPr>
            <w:tcW w:w="240" w:type="dxa"/>
            <w:vAlign w:val="bottom"/>
          </w:tcPr>
          <w:p>
            <w:pPr>
              <w:spacing w:after="0"/>
              <w:rPr>
                <w:sz w:val="14"/>
                <w:szCs w:val="14"/>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12.96</w:t>
            </w:r>
          </w:p>
        </w:tc>
      </w:tr>
      <w:tr>
        <w:trPr>
          <w:trHeight w:val="197"/>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(623,955)</w:t>
            </w:r>
          </w:p>
        </w:tc>
        <w:tc>
          <w:tcPr>
            <w:tcW w:w="24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19.06</w:t>
            </w:r>
          </w:p>
        </w:tc>
      </w:tr>
      <w:tr>
        <w:trPr>
          <w:trHeight w:val="175"/>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506,120</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48.81</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6280" w:space="720"/>
            <w:col w:w="4280"/>
          </w:cols>
          <w:pgMar w:left="300" w:top="575" w:right="319" w:bottom="1440" w:gutter="0" w:footer="0" w:header="0"/>
          <w:type w:val="continuous"/>
        </w:sectPr>
      </w:pPr>
    </w:p>
    <w:bookmarkStart w:id="113" w:name="page114"/>
    <w:bookmarkEnd w:id="113"/>
    <w:p>
      <w:pPr>
        <w:ind w:left="260"/>
        <w:spacing w:after="0"/>
        <w:rPr>
          <w:sz w:val="20"/>
          <w:szCs w:val="20"/>
          <w:color w:val="auto"/>
        </w:rPr>
      </w:pPr>
      <w:r>
        <w:rPr>
          <w:rFonts w:ascii="Times New Roman" w:cs="Times New Roman" w:eastAsia="Times New Roman" w:hAnsi="Times New Roman"/>
          <w:sz w:val="14"/>
          <w:szCs w:val="14"/>
          <w:color w:val="auto"/>
        </w:rPr>
        <w:t>Unrecognized compensation expense related to RSUs was $6,479 as of June 30, 2026 and is expected to be recognized over a weighted-average period of 1.4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Restricted Stock Awards</w:t>
            </w:r>
          </w:p>
        </w:tc>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6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 summary of activity in the Company’s RSAs for the nine months ended June 30, 2026 is as follows:</w:t>
            </w: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22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Pr>
          <w:p>
            <w:pPr>
              <w:spacing w:after="0"/>
              <w:rPr>
                <w:sz w:val="16"/>
                <w:szCs w:val="16"/>
                <w:color w:val="auto"/>
              </w:rPr>
            </w:pP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980" w:type="dxa"/>
            <w:vAlign w:val="bottom"/>
          </w:tcPr>
          <w:p>
            <w:pPr>
              <w:spacing w:after="0"/>
              <w:rPr>
                <w:sz w:val="14"/>
                <w:szCs w:val="14"/>
                <w:color w:val="auto"/>
              </w:rPr>
            </w:pPr>
          </w:p>
        </w:tc>
        <w:tc>
          <w:tcPr>
            <w:tcW w:w="19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September 30, 2025</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487,250</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Vested</w:t>
            </w:r>
          </w:p>
        </w:tc>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(144,750)</w:t>
            </w:r>
          </w:p>
        </w:tc>
        <w:tc>
          <w:tcPr>
            <w:tcW w:w="240" w:type="dxa"/>
            <w:vAlign w:val="bottom"/>
          </w:tcPr>
          <w:p>
            <w:pPr>
              <w:spacing w:after="0"/>
              <w:rPr>
                <w:sz w:val="15"/>
                <w:szCs w:val="15"/>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June 30, 2026</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342,500</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7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Unrecognized compensation expense related to RSAs was $1,545 as of June 30, 2026 and is expected to be recognized over a weighted-average period of 1.4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Stock Options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Stock option activity for the nine months ended June 30, 2026 is as follows: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72"/>
        </w:trPr>
        <w:tc>
          <w:tcPr>
            <w:tcW w:w="5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72"/>
        </w:trPr>
        <w:tc>
          <w:tcPr>
            <w:tcW w:w="5420" w:type="dxa"/>
            <w:vAlign w:val="bottom"/>
          </w:tcPr>
          <w:p>
            <w:pPr>
              <w:spacing w:after="0"/>
              <w:rPr>
                <w:sz w:val="14"/>
                <w:szCs w:val="14"/>
                <w:color w:val="auto"/>
              </w:rPr>
            </w:pPr>
          </w:p>
        </w:tc>
        <w:tc>
          <w:tcPr>
            <w:tcW w:w="122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88"/>
        </w:trPr>
        <w:tc>
          <w:tcPr>
            <w:tcW w:w="5420" w:type="dxa"/>
            <w:vAlign w:val="bottom"/>
          </w:tcPr>
          <w:p>
            <w:pPr>
              <w:spacing w:after="0"/>
              <w:rPr>
                <w:sz w:val="16"/>
                <w:szCs w:val="16"/>
                <w:color w:val="auto"/>
              </w:rPr>
            </w:pPr>
          </w:p>
        </w:tc>
        <w:tc>
          <w:tcPr>
            <w:tcW w:w="122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left="29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0" w:type="dxa"/>
            <w:vAlign w:val="bottom"/>
          </w:tcPr>
          <w:p>
            <w:pPr>
              <w:spacing w:after="0"/>
              <w:rPr>
                <w:sz w:val="1"/>
                <w:szCs w:val="1"/>
                <w:color w:val="auto"/>
              </w:rPr>
            </w:pPr>
          </w:p>
        </w:tc>
      </w:tr>
      <w:tr>
        <w:trPr>
          <w:trHeight w:val="164"/>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September 30, 2025</w:t>
            </w:r>
          </w:p>
        </w:tc>
        <w:tc>
          <w:tcPr>
            <w:tcW w:w="12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245,215</w:t>
            </w: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ind w:right="1192"/>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w:t>
            </w:r>
          </w:p>
        </w:tc>
        <w:tc>
          <w:tcPr>
            <w:tcW w:w="32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Exercised</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(32,353)</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1.70</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(1,436)</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68.40</w:t>
            </w:r>
          </w:p>
        </w:tc>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Expired</w:t>
            </w: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(6,329)</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64.40</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June 30, 2026</w:t>
            </w:r>
          </w:p>
        </w:tc>
        <w:tc>
          <w:tcPr>
            <w:tcW w:w="122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205,097</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55.26</w:t>
            </w:r>
          </w:p>
        </w:tc>
        <w:tc>
          <w:tcPr>
            <w:tcW w:w="17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Exercisable at June 30, 2026</w:t>
            </w: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55.11</w:t>
            </w:r>
          </w:p>
        </w:tc>
        <w:tc>
          <w:tcPr>
            <w:tcW w:w="1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line="20" w:lineRule="exact"/>
              <w:rPr>
                <w:sz w:val="1"/>
                <w:szCs w:val="1"/>
                <w:color w:val="auto"/>
              </w:rPr>
            </w:pPr>
          </w:p>
        </w:tc>
      </w:tr>
      <w:tr>
        <w:trPr>
          <w:trHeight w:val="144"/>
        </w:trPr>
        <w:tc>
          <w:tcPr>
            <w:tcW w:w="5420" w:type="dxa"/>
            <w:vAlign w:val="bottom"/>
            <w:vMerge w:val="continue"/>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202,669</w:t>
            </w:r>
          </w:p>
        </w:tc>
        <w:tc>
          <w:tcPr>
            <w:tcW w:w="2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Unrecognized stock-based compensation expense related to stock options, totaling $159 as of June 30, 2026, is expected to be recognized over a weighted-average period of 0.4 years. The aggregate intrinsic value of stock options outstanding and stock options exercisable as of June 30, 2026 was $13 and $13, respectively. The total intrinsic value of options exercised during the nine months ended June 30, 2026 and 2025 was $165 and $0, respectively. The total fair value of options that vested during the nine months ended June 30, 2026 and 2025 was $528 and $471, respectively. No stock options were granted during the nine months ended June 30, 2026 and 2025.</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condensed consolidated statements of operations and comprehensive loss include stock-based compensation expense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40" w:type="dxa"/>
            <w:vAlign w:val="bottom"/>
            <w:gridSpan w:val="5"/>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 – product</w:t>
            </w:r>
          </w:p>
        </w:tc>
        <w:tc>
          <w:tcPr>
            <w:tcW w:w="2000" w:type="dxa"/>
            <w:vAlign w:val="bottom"/>
            <w:gridSpan w:val="2"/>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w:t>
            </w:r>
          </w:p>
        </w:tc>
        <w:tc>
          <w:tcPr>
            <w:tcW w:w="1200" w:type="dxa"/>
            <w:vAlign w:val="bottom"/>
            <w:gridSpan w:val="2"/>
            <w:shd w:val="clear" w:color="auto" w:fill="CCEEFF"/>
          </w:tcPr>
          <w:p>
            <w:pPr>
              <w:jc w:val="right"/>
              <w:ind w:right="90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116</w:t>
            </w:r>
          </w:p>
        </w:tc>
        <w:tc>
          <w:tcPr>
            <w:tcW w:w="4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 – services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9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123</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2,270</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6,972</w:t>
            </w:r>
          </w:p>
        </w:tc>
        <w:tc>
          <w:tcPr>
            <w:tcW w:w="32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9,611</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19,922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7,102</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F-19</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77"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color w:val="auto"/>
        </w:rPr>
        <w:t>Note 14 — Fair Value Measurements</w:t>
      </w:r>
    </w:p>
    <w:p>
      <w:pPr>
        <w:spacing w:after="0" w:line="185"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The carrying amounts of the Company’s cash, accounts receivable and accounts payable approximate their fair value due to the short-term nature of these instruments. The Company believes the aggregate carrying value of debt not accounted for using the fair value option approximates its fair value as of June 30, 2026 and September 30, 2025 because the notes payable, the 7% promissory notes - related parties and the notes payable - related parties each mature within one year of the respective balance sheet dates.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Hierarchy</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Liabilities measured at fair value on a recurring basis as of June 30, 2026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Earnout liability</w:t>
            </w:r>
          </w:p>
        </w:tc>
        <w:tc>
          <w:tcPr>
            <w:tcW w:w="144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3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Bifurcated conversion feature derivative</w:t>
            </w: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927</w:t>
            </w:r>
          </w:p>
        </w:tc>
        <w:tc>
          <w:tcPr>
            <w:tcW w:w="28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measured at fair value</w:t>
            </w:r>
          </w:p>
        </w:tc>
        <w:tc>
          <w:tcPr>
            <w:tcW w:w="1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3,360</w:t>
            </w: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3,360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Liability-classified warrants</w:t>
            </w:r>
          </w:p>
        </w:tc>
        <w:tc>
          <w:tcPr>
            <w:tcW w:w="1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3,047</w:t>
            </w:r>
          </w:p>
        </w:tc>
        <w:tc>
          <w:tcPr>
            <w:tcW w:w="28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3,047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74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420" w:type="dxa"/>
            <w:vAlign w:val="bottom"/>
            <w:gridSpan w:val="2"/>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7,614</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7,614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The Company classifies the earnout liability, liability-classified warrants, bifurcated conversion feature derivative, and notes payable measured at fair value as Level 3 financial instruments due to the judgment required to develop the assumptions used and the significance of those assumptions to the fair value measurement. No financial instruments were transferred between levels of the fair value hierarchy during the nine months ended June 30, 2026 or 2025. The following table provides a reconciliation of the balance of financial instruments measured at fair value on a recurring basis using Level 3 inputs: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Bifurcated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Notes Payable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172"/>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June 30, 2026:</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Earnout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Classified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Measured at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Feature</w:t>
            </w:r>
          </w:p>
        </w:tc>
        <w:tc>
          <w:tcPr>
            <w:tcW w:w="0" w:type="dxa"/>
            <w:vAlign w:val="bottom"/>
          </w:tcPr>
          <w:p>
            <w:pPr>
              <w:spacing w:after="0"/>
              <w:rPr>
                <w:sz w:val="1"/>
                <w:szCs w:val="1"/>
                <w:color w:val="auto"/>
              </w:rPr>
            </w:pPr>
          </w:p>
        </w:tc>
      </w:tr>
      <w:tr>
        <w:trPr>
          <w:trHeight w:val="188"/>
        </w:trPr>
        <w:tc>
          <w:tcPr>
            <w:tcW w:w="4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2025</w:t>
            </w:r>
          </w:p>
        </w:tc>
        <w:tc>
          <w:tcPr>
            <w:tcW w:w="2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6,859</w:t>
            </w:r>
          </w:p>
        </w:tc>
        <w:tc>
          <w:tcPr>
            <w:tcW w:w="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Reclassification of warrant liabilities to equity</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(6,912)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notes payable measured at fair value</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3,333</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Issuance of Preferred Stock</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Preferred Stock warrants</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2,780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included in net loss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(960)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9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Balance, June 30, 2026</w:t>
            </w:r>
          </w:p>
        </w:tc>
        <w:tc>
          <w:tcPr>
            <w:tcW w:w="22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320" w:type="dxa"/>
            <w:vAlign w:val="bottom"/>
          </w:tcPr>
          <w:p>
            <w:pPr>
              <w:spacing w:after="0"/>
              <w:rPr>
                <w:sz w:val="16"/>
                <w:szCs w:val="16"/>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3,047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3,360</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172"/>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June 30, 2025:</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Earnout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Classified</w:t>
            </w:r>
          </w:p>
        </w:tc>
        <w:tc>
          <w:tcPr>
            <w:tcW w:w="0" w:type="dxa"/>
            <w:vAlign w:val="bottom"/>
          </w:tcPr>
          <w:p>
            <w:pPr>
              <w:spacing w:after="0"/>
              <w:rPr>
                <w:sz w:val="1"/>
                <w:szCs w:val="1"/>
                <w:color w:val="auto"/>
              </w:rPr>
            </w:pPr>
          </w:p>
        </w:tc>
      </w:tr>
      <w:tr>
        <w:trPr>
          <w:trHeight w:val="188"/>
        </w:trPr>
        <w:tc>
          <w:tcPr>
            <w:tcW w:w="4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2024</w:t>
            </w:r>
          </w:p>
        </w:tc>
        <w:tc>
          <w:tcPr>
            <w:tcW w:w="2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3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Sale of warrants in private placement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Modification of warrants in connection with private placement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Exercise of warrants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4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included in net loss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(490)</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(1,237)</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9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Balance, June 30, 2025</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34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3,756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Liability-Classified Warrants</w:t>
      </w:r>
    </w:p>
    <w:p>
      <w:pPr>
        <w:spacing w:after="0" w:line="185"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As of June 30, 2026, liability-classified warrants consist of the Private Warrants and the Preferred Warrants. The Company estimates the fair value of the Private Warrants based on quoted market prices for the Public Warrants, which have substantially the same economic characteristics. As of September 30, 2025, the Company estimated the fair value of liability-classified warrants (other than the Private Warrants)—including those amended during the nine months ended June 30, 2026—using the Black-Scholes option pricing model. The following table summarizes the significant assumptions used in estimating the fair value of liability-classified warrants under the Black-Scholes option pricing model:</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164"/>
        </w:trPr>
        <w:tc>
          <w:tcPr>
            <w:tcW w:w="9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tcBorders>
              <w:top w:val="single" w:sz="8" w:color="CCEEFF"/>
            </w:tcBorders>
            <w:shd w:val="clear" w:color="auto" w:fill="CCEEFF"/>
          </w:tcPr>
          <w:p>
            <w:pPr>
              <w:spacing w:after="0"/>
              <w:rPr>
                <w:sz w:val="14"/>
                <w:szCs w:val="14"/>
                <w:color w:val="auto"/>
              </w:rPr>
            </w:pPr>
          </w:p>
        </w:tc>
      </w:tr>
      <w:tr>
        <w:trPr>
          <w:trHeight w:val="172"/>
        </w:trPr>
        <w:tc>
          <w:tcPr>
            <w:tcW w:w="924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2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79.0%</w:t>
            </w:r>
          </w:p>
        </w:tc>
      </w:tr>
      <w:tr>
        <w:trPr>
          <w:trHeight w:val="172"/>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22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6"/>
        </w:trPr>
        <w:tc>
          <w:tcPr>
            <w:tcW w:w="924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w:t>
            </w:r>
          </w:p>
        </w:tc>
        <w:tc>
          <w:tcPr>
            <w:tcW w:w="22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 – 4.9 years</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Liability-Classified Preferred Warrants and Bifurcated Conversion Feature</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 xml:space="preserve">The Preferred Shares and the shares of Series A 10% Convertible Preferred Stock underlying the Preferred Warrants are immediately convertible or exercisable into a variable number of common shares based on a fixed dollar amount. The Company estimated the fair value of these warrants and the bifurcated conversion feature associated with the Preferred Shares as equal to the fixed dollar amount associated with each warrant or share of convertible Series A 10% Convertible Preferred Stock. See Note 11,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i w:val="1"/>
          <w:iCs w:val="1"/>
          <w:color w:val="auto"/>
        </w:rPr>
        <w:t>Earnout Liability</w:t>
      </w:r>
    </w:p>
    <w:p>
      <w:pPr>
        <w:spacing w:after="0" w:line="185"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The Company estimates the fair value of the earnout liability using a Monte Carlo simulation model that utilizes significant assumptions, including volatility, expected term and risk-free rate that determine the probability of achieving the earnout conditions. The changes in the assumptions used to estimate the earnout liability were inconsequential for the three months ended June 30, 2026. The following table summarizes the assumptions used in estimating the fair value of the earnout liability at the respective dates: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164"/>
        </w:trPr>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1380" w:type="dxa"/>
            <w:vAlign w:val="bottom"/>
            <w:tcBorders>
              <w:top w:val="single" w:sz="8" w:color="auto"/>
            </w:tcBorders>
            <w:shd w:val="clear" w:color="auto" w:fill="CCEEFF"/>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20" w:type="dxa"/>
            <w:vAlign w:val="bottom"/>
            <w:tcBorders>
              <w:top w:val="single" w:sz="8" w:color="CCEEFF"/>
            </w:tcBorders>
            <w:shd w:val="clear" w:color="auto" w:fill="CCEEFF"/>
          </w:tcPr>
          <w:p>
            <w:pPr>
              <w:spacing w:after="0"/>
              <w:rPr>
                <w:sz w:val="14"/>
                <w:szCs w:val="14"/>
                <w:color w:val="auto"/>
              </w:rPr>
            </w:pPr>
          </w:p>
        </w:tc>
      </w:tr>
      <w:tr>
        <w:trPr>
          <w:trHeight w:val="172"/>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3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90.0%</w:t>
            </w:r>
          </w:p>
        </w:tc>
        <w:tc>
          <w:tcPr>
            <w:tcW w:w="22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172"/>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13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w:t>
            </w:r>
          </w:p>
        </w:tc>
        <w:tc>
          <w:tcPr>
            <w:tcW w:w="22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6"/>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w:t>
            </w:r>
          </w:p>
        </w:tc>
        <w:tc>
          <w:tcPr>
            <w:tcW w:w="138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w w:val="98"/>
              </w:rPr>
              <w:t>5.7 years</w:t>
            </w:r>
          </w:p>
        </w:tc>
        <w:tc>
          <w:tcPr>
            <w:tcW w:w="22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6.2 years</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Notes Payable Measured at Fair Value</w:t>
      </w:r>
    </w:p>
    <w:p>
      <w:pPr>
        <w:spacing w:after="0" w:line="185"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The Company estimates the fair value of the notes payable measured at fair value using the Black-Scholes option pricing model. The following table summarizes the significant assumptions used in estimating the fair value of notes payable measured at fair value under the Black-Scholes option pricing model:</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 2026</w:t>
            </w:r>
          </w:p>
        </w:tc>
      </w:tr>
      <w:tr>
        <w:trPr>
          <w:trHeight w:val="164"/>
        </w:trPr>
        <w:tc>
          <w:tcPr>
            <w:tcW w:w="9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tcBorders>
              <w:top w:val="single" w:sz="8" w:color="CCEEFF"/>
            </w:tcBorders>
            <w:shd w:val="clear" w:color="auto" w:fill="CCEEFF"/>
          </w:tcPr>
          <w:p>
            <w:pPr>
              <w:spacing w:after="0"/>
              <w:rPr>
                <w:sz w:val="14"/>
                <w:szCs w:val="14"/>
                <w:color w:val="auto"/>
              </w:rPr>
            </w:pPr>
          </w:p>
        </w:tc>
      </w:tr>
      <w:tr>
        <w:trPr>
          <w:trHeight w:val="172"/>
        </w:trPr>
        <w:tc>
          <w:tcPr>
            <w:tcW w:w="924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32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125.4 – 136.3%</w:t>
            </w:r>
          </w:p>
        </w:tc>
      </w:tr>
      <w:tr>
        <w:trPr>
          <w:trHeight w:val="172"/>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3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 3.9%</w:t>
            </w:r>
          </w:p>
        </w:tc>
      </w:tr>
      <w:tr>
        <w:trPr>
          <w:trHeight w:val="186"/>
        </w:trPr>
        <w:tc>
          <w:tcPr>
            <w:tcW w:w="924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w:t>
            </w:r>
          </w:p>
        </w:tc>
        <w:tc>
          <w:tcPr>
            <w:tcW w:w="320" w:type="dxa"/>
            <w:vAlign w:val="bottom"/>
          </w:tcPr>
          <w:p>
            <w:pPr>
              <w:spacing w:after="0"/>
              <w:rPr>
                <w:sz w:val="16"/>
                <w:szCs w:val="16"/>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0.22 – 0.32 years</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Net Loss Per Share</w:t>
      </w:r>
    </w:p>
    <w:p>
      <w:pPr>
        <w:spacing w:after="0" w:line="185" w:lineRule="exact"/>
        <w:rPr>
          <w:sz w:val="20"/>
          <w:szCs w:val="20"/>
          <w:color w:val="auto"/>
        </w:rPr>
      </w:pPr>
    </w:p>
    <w:p>
      <w:pPr>
        <w:jc w:val="both"/>
        <w:ind w:firstLine="258"/>
        <w:spacing w:after="0" w:line="264" w:lineRule="auto"/>
        <w:rPr>
          <w:sz w:val="20"/>
          <w:szCs w:val="20"/>
          <w:color w:val="auto"/>
        </w:rPr>
      </w:pPr>
      <w:r>
        <w:rPr>
          <w:rFonts w:ascii="Times New Roman" w:cs="Times New Roman" w:eastAsia="Times New Roman" w:hAnsi="Times New Roman"/>
          <w:sz w:val="14"/>
          <w:szCs w:val="14"/>
          <w:color w:val="auto"/>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preferred stock,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spacing w:after="0" w:line="143" w:lineRule="exact"/>
        <w:rPr>
          <w:sz w:val="20"/>
          <w:szCs w:val="20"/>
          <w:color w:val="auto"/>
        </w:rPr>
      </w:pPr>
    </w:p>
    <w:p>
      <w:pPr>
        <w:jc w:val="both"/>
        <w:ind w:firstLine="258"/>
        <w:spacing w:after="0" w:line="268" w:lineRule="auto"/>
        <w:rPr>
          <w:sz w:val="20"/>
          <w:szCs w:val="20"/>
          <w:color w:val="auto"/>
        </w:rPr>
      </w:pPr>
      <w:r>
        <w:rPr>
          <w:rFonts w:ascii="Times New Roman" w:cs="Times New Roman" w:eastAsia="Times New Roman" w:hAnsi="Times New Roman"/>
          <w:sz w:val="14"/>
          <w:szCs w:val="14"/>
          <w:color w:val="auto"/>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60" w:type="dxa"/>
            <w:vAlign w:val="bottom"/>
          </w:tcPr>
          <w:p>
            <w:pPr>
              <w:spacing w:after="0"/>
              <w:rPr>
                <w:sz w:val="15"/>
                <w:szCs w:val="15"/>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net loss per share:</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Numerator:</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Allocation of net loss</w:t>
            </w:r>
          </w:p>
        </w:tc>
        <w:tc>
          <w:tcPr>
            <w:tcW w:w="3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(16,528)</w:t>
            </w: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(267)</w:t>
            </w:r>
          </w:p>
        </w:tc>
        <w:tc>
          <w:tcPr>
            <w:tcW w:w="4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(7,932)</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 available to common stockholders</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(16,536)</w:t>
            </w: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(7,932)</w:t>
            </w:r>
          </w:p>
        </w:tc>
        <w:tc>
          <w:tcPr>
            <w:tcW w:w="3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Denominator:</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Weighted-average shares outstanding</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12,439,568</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200,491</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4,678,039</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200,491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Basic net loss per share</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32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00" w:type="dxa"/>
            <w:vAlign w:val="bottom"/>
            <w:tcBorders>
              <w:bottom w:val="single" w:sz="8" w:color="CCEEFF"/>
            </w:tcBorders>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320" w:type="dxa"/>
            <w:vAlign w:val="bottom"/>
            <w:tcBorders>
              <w:bottom w:val="single" w:sz="8" w:color="CCEEFF"/>
            </w:tcBorders>
          </w:tcPr>
          <w:p>
            <w:pPr>
              <w:jc w:val="right"/>
              <w:ind w:right="188"/>
              <w:spacing w:after="0"/>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Diluted net loss per share: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Numerator:</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loss available to common stockholders</w:t>
            </w: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(16,536)</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(267)</w:t>
            </w:r>
          </w:p>
        </w:tc>
        <w:tc>
          <w:tcPr>
            <w:tcW w:w="4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(7,932)</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40" w:type="dxa"/>
            <w:vAlign w:val="bottom"/>
            <w:shd w:val="clear" w:color="auto" w:fill="CCEEFF"/>
          </w:tcPr>
          <w:p>
            <w:pPr>
              <w:ind w:left="280"/>
              <w:spacing w:after="0" w:line="157" w:lineRule="exact"/>
              <w:rPr>
                <w:sz w:val="20"/>
                <w:szCs w:val="20"/>
                <w:color w:val="auto"/>
              </w:rPr>
            </w:pPr>
            <w:r>
              <w:rPr>
                <w:rFonts w:ascii="Times New Roman" w:cs="Times New Roman" w:eastAsia="Times New Roman" w:hAnsi="Times New Roman"/>
                <w:sz w:val="14"/>
                <w:szCs w:val="14"/>
                <w:color w:val="auto"/>
              </w:rPr>
              <w:t>Reallocation of net loss as a result of conversion of Class B to Class A Common</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(267)</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(340)</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Allocation of net loss</w:t>
            </w:r>
          </w:p>
        </w:tc>
        <w:tc>
          <w:tcPr>
            <w:tcW w:w="14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(16,803)</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(8,272)</w:t>
            </w:r>
          </w:p>
        </w:tc>
        <w:tc>
          <w:tcPr>
            <w:tcW w:w="320" w:type="dxa"/>
            <w:vAlign w:val="bottom"/>
          </w:tcPr>
          <w:p>
            <w:pPr>
              <w:spacing w:after="0"/>
              <w:rPr>
                <w:sz w:val="14"/>
                <w:szCs w:val="14"/>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Denominator:</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Number of shares used in basic earnings per share calculation</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12,439,568</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200,491</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4,678,039</w:t>
            </w: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200,491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Conversion of Class B to Class A Common Stock</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200,491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200,491</w:t>
            </w:r>
          </w:p>
        </w:tc>
        <w:tc>
          <w:tcPr>
            <w:tcW w:w="260" w:type="dxa"/>
            <w:vAlign w:val="bottom"/>
          </w:tcPr>
          <w:p>
            <w:pPr>
              <w:spacing w:after="0"/>
              <w:rPr>
                <w:sz w:val="15"/>
                <w:szCs w:val="15"/>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Number of shares used in per share computation</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12,640,059</w:t>
            </w: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200,491</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4,878,530</w:t>
            </w:r>
          </w:p>
        </w:tc>
        <w:tc>
          <w:tcPr>
            <w:tcW w:w="3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200,491</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Diluted net loss per share</w:t>
            </w:r>
          </w:p>
        </w:tc>
        <w:tc>
          <w:tcPr>
            <w:tcW w:w="14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32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5"/>
                <w:szCs w:val="15"/>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3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959"/>
              <w:spacing w:after="0"/>
              <w:rPr>
                <w:sz w:val="20"/>
                <w:szCs w:val="20"/>
                <w:color w:val="auto"/>
              </w:rPr>
            </w:pPr>
            <w:r>
              <w:rPr>
                <w:rFonts w:ascii="Times New Roman" w:cs="Times New Roman" w:eastAsia="Times New Roman" w:hAnsi="Times New Roman"/>
                <w:sz w:val="14"/>
                <w:szCs w:val="14"/>
                <w:color w:val="auto"/>
              </w:rPr>
              <w:t>F-21</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75" w:right="31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60" w:type="dxa"/>
            <w:vAlign w:val="bottom"/>
          </w:tcPr>
          <w:p>
            <w:pPr>
              <w:spacing w:after="0"/>
              <w:rPr>
                <w:sz w:val="15"/>
                <w:szCs w:val="15"/>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net loss per share:</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Numerator:</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Allocation of net loss</w:t>
            </w:r>
          </w:p>
        </w:tc>
        <w:tc>
          <w:tcPr>
            <w:tcW w:w="4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(32,094)</w:t>
            </w: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(679)</w:t>
            </w:r>
          </w:p>
        </w:tc>
        <w:tc>
          <w:tcPr>
            <w:tcW w:w="4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(28,944)</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(1,458)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 available to common stockholders</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(32,102)</w:t>
            </w: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(28,944)</w:t>
            </w:r>
          </w:p>
        </w:tc>
        <w:tc>
          <w:tcPr>
            <w:tcW w:w="3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0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Denominator:</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Weighted-average shares outstanding</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9,483,444</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200,491</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4,043,700</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203,741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Basic net loss per share</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32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200" w:type="dxa"/>
            <w:vAlign w:val="bottom"/>
            <w:tcBorders>
              <w:bottom w:val="single" w:sz="8" w:color="CCEEFF"/>
            </w:tcBorders>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320" w:type="dxa"/>
            <w:vAlign w:val="bottom"/>
            <w:tcBorders>
              <w:bottom w:val="single" w:sz="8" w:color="CCEEFF"/>
            </w:tcBorders>
          </w:tcPr>
          <w:p>
            <w:pPr>
              <w:jc w:val="right"/>
              <w:ind w:right="188"/>
              <w:spacing w:after="0"/>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Diluted net loss per share:</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Numerator:</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Allocation of net loss</w:t>
            </w:r>
          </w:p>
        </w:tc>
        <w:tc>
          <w:tcPr>
            <w:tcW w:w="4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(32,102)</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(679)</w:t>
            </w:r>
          </w:p>
        </w:tc>
        <w:tc>
          <w:tcPr>
            <w:tcW w:w="4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(28,944)</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(1,458)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40" w:type="dxa"/>
            <w:vAlign w:val="bottom"/>
            <w:shd w:val="clear" w:color="auto" w:fill="CCEEFF"/>
          </w:tcPr>
          <w:p>
            <w:pPr>
              <w:ind w:left="280"/>
              <w:spacing w:after="0" w:line="157" w:lineRule="exact"/>
              <w:rPr>
                <w:sz w:val="20"/>
                <w:szCs w:val="20"/>
                <w:color w:val="auto"/>
              </w:rPr>
            </w:pPr>
            <w:r>
              <w:rPr>
                <w:rFonts w:ascii="Times New Roman" w:cs="Times New Roman" w:eastAsia="Times New Roman" w:hAnsi="Times New Roman"/>
                <w:sz w:val="14"/>
                <w:szCs w:val="14"/>
                <w:color w:val="auto"/>
              </w:rPr>
              <w:t>Reallocation of net loss as a result of conversion of Class B to Class A Common</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4"/>
                <w:szCs w:val="14"/>
                <w:color w:val="auto"/>
              </w:rPr>
              <w:t>(679)</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(1,458)</w:t>
            </w:r>
          </w:p>
        </w:tc>
        <w:tc>
          <w:tcPr>
            <w:tcW w:w="2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Allocation of net loss</w:t>
            </w:r>
          </w:p>
        </w:tc>
        <w:tc>
          <w:tcPr>
            <w:tcW w:w="140" w:type="dxa"/>
            <w:vAlign w:val="bottom"/>
          </w:tcPr>
          <w:p>
            <w:pPr>
              <w:spacing w:after="0"/>
              <w:rPr>
                <w:sz w:val="14"/>
                <w:szCs w:val="14"/>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(32,781)</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(30,402)</w:t>
            </w:r>
          </w:p>
        </w:tc>
        <w:tc>
          <w:tcPr>
            <w:tcW w:w="320" w:type="dxa"/>
            <w:vAlign w:val="bottom"/>
          </w:tcPr>
          <w:p>
            <w:pPr>
              <w:spacing w:after="0"/>
              <w:rPr>
                <w:sz w:val="14"/>
                <w:szCs w:val="14"/>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Denominator:</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Number of shares used in basic earnings per share calculation</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4"/>
                <w:szCs w:val="14"/>
                <w:color w:val="auto"/>
              </w:rPr>
              <w:t>9,483,444</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200,491</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4,043,700</w:t>
            </w: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203,741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Conversion of Class B to Class A Common Stock</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200,491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203,741</w:t>
            </w:r>
          </w:p>
        </w:tc>
        <w:tc>
          <w:tcPr>
            <w:tcW w:w="260" w:type="dxa"/>
            <w:vAlign w:val="bottom"/>
          </w:tcPr>
          <w:p>
            <w:pPr>
              <w:spacing w:after="0"/>
              <w:rPr>
                <w:sz w:val="15"/>
                <w:szCs w:val="15"/>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0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Number of shares used in per share computation</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9,683,935</w:t>
            </w:r>
          </w:p>
        </w:tc>
        <w:tc>
          <w:tcPr>
            <w:tcW w:w="3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200,491</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4,247,441</w:t>
            </w:r>
          </w:p>
        </w:tc>
        <w:tc>
          <w:tcPr>
            <w:tcW w:w="3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203,741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Diluted net loss per share</w:t>
            </w:r>
          </w:p>
        </w:tc>
        <w:tc>
          <w:tcPr>
            <w:tcW w:w="14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32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5"/>
                <w:szCs w:val="15"/>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3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4"/>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For the purposes of applying the if converted method or treasury stock method for calculating diluted earnings per share, Warrants, RSAs, RSUs, stock options and preferred stock result in anti-dilution. Therefore, these securities are not included in the computation of diluted net loss per share. Shares potentially issuable under earnout arrangements were not included for purposes of calculating the number of diluted shares outstanding because the number of dilutive shares is, in each case, based on a contingency which had not been met during the periods presented herein.</w:t>
      </w:r>
    </w:p>
    <w:p>
      <w:pPr>
        <w:spacing w:after="0" w:line="135"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The potential shares of Class A Common Stock that were excluded from the computation of diluted net loss per share for the periods presented because including them would have an antidilutive effect were as follows:</w:t>
      </w:r>
    </w:p>
    <w:p>
      <w:pPr>
        <w:spacing w:after="0" w:line="13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Nine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0" w:type="dxa"/>
            <w:vAlign w:val="bottom"/>
            <w:tcBorders>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CCEEFF"/>
            </w:tcBorders>
          </w:tcPr>
          <w:p>
            <w:pPr>
              <w:spacing w:after="0"/>
              <w:rPr>
                <w:sz w:val="15"/>
                <w:szCs w:val="15"/>
                <w:color w:val="auto"/>
              </w:rPr>
            </w:pPr>
          </w:p>
        </w:tc>
        <w:tc>
          <w:tcPr>
            <w:tcW w:w="192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6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w:t>
            </w:r>
          </w:p>
        </w:tc>
        <w:tc>
          <w:tcPr>
            <w:tcW w:w="1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2,555,074</w:t>
            </w:r>
          </w:p>
        </w:tc>
        <w:tc>
          <w:tcPr>
            <w:tcW w:w="34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2,107,840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04"/>
        </w:trPr>
        <w:tc>
          <w:tcPr>
            <w:tcW w:w="822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color w:val="auto"/>
              </w:rPr>
              <w:t>Shares potentially issuable upon conversion of preferred stock or exercise of warrants on preferred stock</w:t>
            </w:r>
            <w:r>
              <w:rPr>
                <w:rFonts w:ascii="Times New Roman" w:cs="Times New Roman" w:eastAsia="Times New Roman" w:hAnsi="Times New Roman"/>
                <w:sz w:val="23"/>
                <w:szCs w:val="23"/>
                <w:color w:val="auto"/>
                <w:vertAlign w:val="superscript"/>
              </w:rPr>
              <w:t>3</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822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4"/>
                <w:szCs w:val="14"/>
                <w:color w:val="auto"/>
              </w:rPr>
              <w:t>Shares potentially issuable upon conversion of convertible notes payable measured at fair value</w:t>
            </w:r>
            <w:r>
              <w:rPr>
                <w:rFonts w:ascii="Times New Roman" w:cs="Times New Roman" w:eastAsia="Times New Roman" w:hAnsi="Times New Roman"/>
                <w:sz w:val="23"/>
                <w:szCs w:val="23"/>
                <w:color w:val="auto"/>
                <w:vertAlign w:val="superscript"/>
              </w:rPr>
              <w:t>4</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potentially issuable under earnout arrangements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340" w:type="dxa"/>
            <w:vAlign w:val="bottom"/>
          </w:tcPr>
          <w:p>
            <w:pPr>
              <w:spacing w:after="0"/>
              <w:rPr>
                <w:sz w:val="14"/>
                <w:szCs w:val="14"/>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414,281</w:t>
            </w:r>
          </w:p>
        </w:tc>
        <w:tc>
          <w:tcPr>
            <w:tcW w:w="80" w:type="dxa"/>
            <w:vAlign w:val="bottom"/>
          </w:tcPr>
          <w:p>
            <w:pPr>
              <w:spacing w:after="0"/>
              <w:rPr>
                <w:sz w:val="14"/>
                <w:szCs w:val="14"/>
                <w:color w:val="auto"/>
              </w:rPr>
            </w:pPr>
          </w:p>
        </w:tc>
      </w:tr>
      <w:tr>
        <w:trPr>
          <w:trHeight w:val="172"/>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RSAs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342,500</w:t>
            </w:r>
          </w:p>
        </w:tc>
        <w:tc>
          <w:tcPr>
            <w:tcW w:w="34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510,000</w:t>
            </w:r>
          </w:p>
        </w:tc>
        <w:tc>
          <w:tcPr>
            <w:tcW w:w="80" w:type="dxa"/>
            <w:vAlign w:val="bottom"/>
            <w:shd w:val="clear" w:color="auto" w:fill="CCEEFF"/>
          </w:tcPr>
          <w:p>
            <w:pPr>
              <w:spacing w:after="0"/>
              <w:rPr>
                <w:sz w:val="14"/>
                <w:szCs w:val="14"/>
                <w:color w:val="auto"/>
              </w:rPr>
            </w:pPr>
          </w:p>
        </w:tc>
      </w:tr>
      <w:tr>
        <w:trPr>
          <w:trHeight w:val="172"/>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RSUs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506,120</w:t>
            </w:r>
          </w:p>
        </w:tc>
        <w:tc>
          <w:tcPr>
            <w:tcW w:w="340" w:type="dxa"/>
            <w:vAlign w:val="bottom"/>
          </w:tcPr>
          <w:p>
            <w:pPr>
              <w:spacing w:after="0"/>
              <w:rPr>
                <w:sz w:val="14"/>
                <w:szCs w:val="14"/>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620,414</w:t>
            </w:r>
          </w:p>
        </w:tc>
        <w:tc>
          <w:tcPr>
            <w:tcW w:w="80" w:type="dxa"/>
            <w:vAlign w:val="bottom"/>
          </w:tcPr>
          <w:p>
            <w:pPr>
              <w:spacing w:after="0"/>
              <w:rPr>
                <w:sz w:val="14"/>
                <w:szCs w:val="14"/>
                <w:color w:val="auto"/>
              </w:rPr>
            </w:pPr>
          </w:p>
        </w:tc>
      </w:tr>
      <w:tr>
        <w:trPr>
          <w:trHeight w:val="183"/>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205,097</w:t>
            </w:r>
          </w:p>
        </w:tc>
        <w:tc>
          <w:tcPr>
            <w:tcW w:w="34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245,262</w:t>
            </w:r>
          </w:p>
        </w:tc>
        <w:tc>
          <w:tcPr>
            <w:tcW w:w="80" w:type="dxa"/>
            <w:vAlign w:val="bottom"/>
            <w:shd w:val="clear" w:color="auto" w:fill="CCEEFF"/>
          </w:tcPr>
          <w:p>
            <w:pPr>
              <w:spacing w:after="0"/>
              <w:rPr>
                <w:sz w:val="15"/>
                <w:szCs w:val="15"/>
                <w:color w:val="auto"/>
              </w:rPr>
            </w:pPr>
          </w:p>
        </w:tc>
      </w:tr>
      <w:tr>
        <w:trPr>
          <w:trHeight w:val="174"/>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2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3,958,791</w:t>
            </w:r>
          </w:p>
        </w:tc>
        <w:tc>
          <w:tcPr>
            <w:tcW w:w="340" w:type="dxa"/>
            <w:vAlign w:val="bottom"/>
          </w:tcPr>
          <w:p>
            <w:pPr>
              <w:spacing w:after="0"/>
              <w:rPr>
                <w:sz w:val="15"/>
                <w:szCs w:val="15"/>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3,897,797</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179006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90065" cy="6985"/>
                    </a:xfrm>
                    <a:prstGeom prst="rect">
                      <a:avLst/>
                    </a:prstGeom>
                    <a:noFill/>
                  </pic:spPr>
                </pic:pic>
              </a:graphicData>
            </a:graphic>
          </wp:anchor>
        </w:drawing>
      </w:r>
    </w:p>
    <w:p>
      <w:pPr>
        <w:spacing w:after="0" w:line="159" w:lineRule="exact"/>
        <w:rPr>
          <w:sz w:val="20"/>
          <w:szCs w:val="20"/>
          <w:color w:val="auto"/>
        </w:rPr>
      </w:pPr>
    </w:p>
    <w:p>
      <w:pPr>
        <w:jc w:val="both"/>
        <w:ind w:left="160" w:hanging="154"/>
        <w:spacing w:after="0" w:line="212" w:lineRule="auto"/>
        <w:tabs>
          <w:tab w:leader="none" w:pos="160" w:val="left"/>
        </w:tabs>
        <w:numPr>
          <w:ilvl w:val="0"/>
          <w:numId w:val="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amounts issuable upon conversion of the preferred shares or the exercise of the warrants for the preferred shares were not included here as of June 30, 2026, as the number of dilutive shares is not determinable until conversion or exercise. Using the lowest eight day volume weighted average price of the Class A Common Shares on June 30, 2026, the Company estimates that approximately 6,367,975 shares would be issuable upon conversion of the preferred shares and exercise of the warrants as of June 30, 2026.</w:t>
      </w:r>
    </w:p>
    <w:p>
      <w:pPr>
        <w:spacing w:after="0" w:line="2" w:lineRule="exact"/>
        <w:rPr>
          <w:sz w:val="20"/>
          <w:szCs w:val="20"/>
          <w:color w:val="auto"/>
        </w:rPr>
      </w:pPr>
    </w:p>
    <w:p>
      <w:pPr>
        <w:jc w:val="both"/>
        <w:ind w:left="160" w:hanging="154"/>
        <w:spacing w:after="0" w:line="207" w:lineRule="auto"/>
        <w:tabs>
          <w:tab w:leader="none" w:pos="160" w:val="left"/>
        </w:tabs>
        <w:numPr>
          <w:ilvl w:val="0"/>
          <w:numId w:val="5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amounts issuable upon conversion of the convertible notes measured at fair value were not included here as of June 30, 2026, as the number of dilutive shares is not determinable until conversion Using the lowest eight-day volume weighted average price of the Class A Common Shares on June 30, 2026, the Company estimates that approximately 2,570,688 shares would be issuable upon conversion as of June 30, 2026.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Concentrations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Customers</w:t>
      </w:r>
    </w:p>
    <w:p>
      <w:pPr>
        <w:spacing w:after="0" w:line="185"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For the three months ended June 30, 2026, two customers accounted for 62% of the Company’s net revenue. For the three months ended June 30, 2025, one customer accounted for 33% of the Company’s net revenue. For the nine months ended June 30, 2026, two customers accounted for 35% of the Company’s net revenue. For the nine months ended June 30, 2025, one customer accounted for 55% of the Company’s net revenue. No other customer accounted for more than 10% of net revenue in the respective periods.</w:t>
      </w:r>
    </w:p>
    <w:p>
      <w:pPr>
        <w:spacing w:after="0" w:line="135"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As of June 30, 2026, two customers had balances due that represented 47% of the Company’s total accounts receivable. As of September 30, 2025, two customers had balances due that represented 30% of the Company’s total accounts receivable.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6026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85"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color w:val="auto"/>
        </w:rPr>
        <w:t>Note 17 — Segment Information</w:t>
      </w:r>
    </w:p>
    <w:p>
      <w:pPr>
        <w:spacing w:after="0" w:line="185"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spacing w:after="0" w:line="123"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condensed consolidated statements of operations and comprehensive loss when making operating decisions.</w:t>
      </w:r>
    </w:p>
    <w:p>
      <w:pPr>
        <w:spacing w:after="0" w:line="135"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The measure of segment assets is reported on the condensed consolidated balance sheets as total assets. The CODM does not review segment assets at a level other than that presented in the Company’s condensed consolidated balance sheets.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Revenues by Geographic Region</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net revenue by geographic region, based on ship-to location, is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40" w:type="dxa"/>
            <w:vAlign w:val="bottom"/>
            <w:tcBorders>
              <w:bottom w:val="single" w:sz="8" w:color="auto"/>
            </w:tcBorders>
            <w:gridSpan w:val="5"/>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Nine months ended 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30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3000" w:type="dxa"/>
            <w:vAlign w:val="bottom"/>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761</w:t>
            </w:r>
          </w:p>
        </w:tc>
        <w:tc>
          <w:tcPr>
            <w:tcW w:w="1020" w:type="dxa"/>
            <w:vAlign w:val="bottom"/>
            <w:gridSpan w:val="2"/>
            <w:shd w:val="clear" w:color="auto" w:fill="CCEEFF"/>
          </w:tcPr>
          <w:p>
            <w:pPr>
              <w:jc w:val="right"/>
              <w:ind w:right="72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2,108</w:t>
            </w:r>
          </w:p>
        </w:tc>
        <w:tc>
          <w:tcPr>
            <w:tcW w:w="10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3,408</w:t>
            </w:r>
          </w:p>
        </w:tc>
        <w:tc>
          <w:tcPr>
            <w:tcW w:w="84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242</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226</w:t>
            </w:r>
          </w:p>
        </w:tc>
        <w:tc>
          <w:tcPr>
            <w:tcW w:w="84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net revenue</w:t>
            </w:r>
          </w:p>
        </w:tc>
        <w:tc>
          <w:tcPr>
            <w:tcW w:w="2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3,634</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Long-Lived Assets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Substantially all of the Company’s long-lived assets are located in the United States.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Subsequent Events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Agreement and Plan of Merger — Vision Aerial</w:t>
      </w:r>
    </w:p>
    <w:p>
      <w:pPr>
        <w:spacing w:after="0" w:line="185" w:lineRule="exact"/>
        <w:rPr>
          <w:sz w:val="20"/>
          <w:szCs w:val="20"/>
          <w:color w:val="auto"/>
        </w:rPr>
      </w:pPr>
    </w:p>
    <w:p>
      <w:pPr>
        <w:jc w:val="both"/>
        <w:ind w:firstLine="258"/>
        <w:spacing w:after="0" w:line="262" w:lineRule="auto"/>
        <w:rPr>
          <w:sz w:val="20"/>
          <w:szCs w:val="20"/>
          <w:color w:val="auto"/>
        </w:rPr>
      </w:pPr>
      <w:r>
        <w:rPr>
          <w:rFonts w:ascii="Times New Roman" w:cs="Times New Roman" w:eastAsia="Times New Roman" w:hAnsi="Times New Roman"/>
          <w:sz w:val="14"/>
          <w:szCs w:val="14"/>
          <w:color w:val="auto"/>
        </w:rPr>
        <w:t>On July 24, 2026, the Company entered into an Agreement and Plan of Merger (the “Vision Aerial Merger Agreement”) with Vision Aerial, Inc. (“Vision Aerial”), a U.S.-based designer and manufacturer of unmanned aerial systems, providing for the acquisition of Vision Aerial through a two-step merger, following which Vision Aerial will be a wholly owned subsidiary of the Company. The consideration for the transaction consists of (i) a number of shares of the Company’s Class A Common Stock equal to $12,000 divided by the volume-weighted average price per share of the Class A Common Stock for the 20 trading days ending on (and including) the third trading day preceding the closing, which price shall not be less than $2.00 nor greater than $3.00 per share (subject to equitable adjustment), and (ii) $3,000 in cash, in each case subject to customary post-closing purchase price adjustments and indemnification holdbacks. The closing is subject to customary closing conditions, and the Vision Aerial Merger Agreement may be terminated under specified circumstances, including payment of a termination fee by Vision Aerial in certain cases. Because the transaction has not been consummated, the Company is unable to estimate the financial effect of the acquisition on its condensed consolidated financial statements at this time.</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Agreement and Plan of Merger — Special Project Delivery</w:t>
      </w:r>
    </w:p>
    <w:p>
      <w:pPr>
        <w:spacing w:after="0" w:line="185" w:lineRule="exact"/>
        <w:rPr>
          <w:sz w:val="20"/>
          <w:szCs w:val="20"/>
          <w:color w:val="auto"/>
        </w:rPr>
      </w:pPr>
    </w:p>
    <w:p>
      <w:pPr>
        <w:jc w:val="both"/>
        <w:ind w:firstLine="258"/>
        <w:spacing w:after="0" w:line="265" w:lineRule="auto"/>
        <w:rPr>
          <w:sz w:val="20"/>
          <w:szCs w:val="20"/>
          <w:color w:val="auto"/>
        </w:rPr>
      </w:pPr>
      <w:r>
        <w:rPr>
          <w:rFonts w:ascii="Times New Roman" w:cs="Times New Roman" w:eastAsia="Times New Roman" w:hAnsi="Times New Roman"/>
          <w:sz w:val="14"/>
          <w:szCs w:val="14"/>
          <w:color w:val="auto"/>
        </w:rPr>
        <w:t>On August 13, 2026, the Company entered into an Agreement and Plan of Merger with Special Project Delivery, Inc. (“SPD”), two wholly owned merger subsidiaries of the Company, and the stockholder representative named therein, providing for the acquisition of SPD through a two-step merger. The merger consideration consists solely of 4,800,000 shares of the Company’s Class A Common Stock, with no cash consideration, escrow or holdback. No shares will be issued unless and until the Company’s stockholders have approved the issuance in accordance with Nasdaq Listing Rule 5635, and the closing is subject to that approval and other customary conditions. Because the transaction has not been consummated, no shares have been issued and the Company is unable to estimate the financial effect of the acquisition on its condensed consolidated financial statements at this time.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Kips Warrant Exercise and Preferred Stock Conversion</w:t>
      </w:r>
    </w:p>
    <w:p>
      <w:pPr>
        <w:spacing w:after="0" w:line="185"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On August 5, 2026, Kips exercised the Preferred Warrant in part, purchasing 1,000 shares of Series A 10% Convertible Preferred Stock for aggregate gross proceeds to the Company of $1,000, and converted those Preferred Shares into 585,365 shares of Class A Common Stock at a conversion price of $2.05 per share in accordance with the terms of the Certificate of Designation. The conversion price is equal to the Nasdaq Minimum Price of the Class A Common Stock on May 19, 2026, the date of the Kips Purchase Agreement.</w:t>
      </w:r>
    </w:p>
    <w:p>
      <w:pPr>
        <w:spacing w:after="0" w:line="135"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On August 13, 2026, Kips converted 1,000 shares of Series A 10% Convertible Preferred Stock into 585,365 shares of Class A Common Stock at a conversion price of $2.05 per share in accordance with the terms of the Certificate of Designation.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Partial Conversion of Notes Payable</w:t>
      </w:r>
    </w:p>
    <w:p>
      <w:pPr>
        <w:spacing w:after="0" w:line="185" w:lineRule="exact"/>
        <w:rPr>
          <w:sz w:val="20"/>
          <w:szCs w:val="20"/>
          <w:color w:val="auto"/>
        </w:rPr>
      </w:pPr>
    </w:p>
    <w:p>
      <w:pPr>
        <w:jc w:val="both"/>
        <w:ind w:firstLine="258"/>
        <w:spacing w:after="0" w:line="275" w:lineRule="auto"/>
        <w:rPr>
          <w:sz w:val="20"/>
          <w:szCs w:val="20"/>
          <w:color w:val="auto"/>
        </w:rPr>
      </w:pPr>
      <w:r>
        <w:rPr>
          <w:rFonts w:ascii="Times New Roman" w:cs="Times New Roman" w:eastAsia="Times New Roman" w:hAnsi="Times New Roman"/>
          <w:sz w:val="14"/>
          <w:szCs w:val="14"/>
          <w:color w:val="auto"/>
        </w:rPr>
        <w:t>On August 13, 2026, an unrelated investor converted $150 of outstanding principal and accrued interest into 126,957 shares of Class A Common Stock at a conversion price of $1.18 per share. That conversion was rescinded on August 18, 2026 and was not completed. On August 31, 2026, the investor converted $115 of outstanding principal and accrued interest into 125,272 shares of Class A Common Stock at a conversion price of $0.92 per share.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Events Subsequent to Original Issuance of unaudited condensed consolidated financial statements (Unaudited)</w:t>
      </w:r>
    </w:p>
    <w:p>
      <w:pPr>
        <w:spacing w:after="0" w:line="185" w:lineRule="exact"/>
        <w:rPr>
          <w:sz w:val="20"/>
          <w:szCs w:val="20"/>
          <w:color w:val="auto"/>
        </w:rPr>
      </w:pPr>
    </w:p>
    <w:p>
      <w:pPr>
        <w:jc w:val="both"/>
        <w:ind w:firstLine="258"/>
        <w:spacing w:after="0" w:line="293" w:lineRule="auto"/>
        <w:rPr>
          <w:sz w:val="20"/>
          <w:szCs w:val="20"/>
          <w:color w:val="auto"/>
        </w:rPr>
      </w:pPr>
      <w:r>
        <w:rPr>
          <w:rFonts w:ascii="Times New Roman" w:cs="Times New Roman" w:eastAsia="Times New Roman" w:hAnsi="Times New Roman"/>
          <w:sz w:val="14"/>
          <w:szCs w:val="14"/>
          <w:color w:val="auto"/>
        </w:rPr>
        <w:t>In connection with the reissuance of the unaudited condensed consolidated financial statements, the Company has evaluated subsequent events through October 30, 2026, the date the unaudited condensed consolidated financial statements were available to be reissued.</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October 14, 2026, the parties mutually terminated the merger agreement with Vision Aerial. No termination fee or other consideration was paid or is payable by either party.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Mobix Labs,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 on the Financial Statements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Mobix Labs, Inc. and its subsidiaries (the “Company”) as of September 30, 2025 and 2024, and the related consolidated statements of operations and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September 30, 2025 and 2024, and the results of its operations and its cash flows for the years then ended in conformity with accounting principles generally accepted in the United States of America.</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Substantial Doubt About the Company’s Ability to Continue as a Going Concern</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assuming that the Company will continue as a going concern. As discussed in Note 1 to the consolidated financial statements, the Company has incurred operating losses and negative cash flows from operations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p>
    <w:p>
      <w:pPr>
        <w:spacing w:after="0" w:line="1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Irvine, California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12, 2026, except for the effects of the reverse stock split discussed in Note 21 to the consolidated financial statements, as to which the date is April 27,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20" w:type="dxa"/>
            <w:vAlign w:val="bottom"/>
            <w:shd w:val="clear" w:color="auto" w:fill="CCEEFF"/>
          </w:tcPr>
          <w:p>
            <w:pPr>
              <w:ind w:left="3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1420" w:type="dxa"/>
            <w:vAlign w:val="bottom"/>
            <w:gridSpan w:val="2"/>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Inventory</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593</w:t>
            </w:r>
          </w:p>
        </w:tc>
        <w:tc>
          <w:tcPr>
            <w:tcW w:w="54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6,715</w:t>
            </w:r>
          </w:p>
        </w:tc>
        <w:tc>
          <w:tcPr>
            <w:tcW w:w="3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5,271</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328</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13,519</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15,211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16,066</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16,066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370</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115</w:t>
            </w:r>
          </w:p>
        </w:tc>
        <w:tc>
          <w:tcPr>
            <w:tcW w:w="5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37,113</w:t>
            </w:r>
          </w:p>
        </w:tc>
        <w:tc>
          <w:tcPr>
            <w:tcW w:w="34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tcPr>
          <w:p>
            <w:pPr>
              <w:ind w:left="14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 (DEFICIT)</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1420" w:type="dxa"/>
            <w:vAlign w:val="bottom"/>
            <w:gridSpan w:val="2"/>
          </w:tcPr>
          <w:p>
            <w:pPr>
              <w:jc w:val="right"/>
              <w:ind w:right="110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8,981</w:t>
            </w:r>
          </w:p>
        </w:tc>
        <w:tc>
          <w:tcPr>
            <w:tcW w:w="340" w:type="dxa"/>
            <w:vAlign w:val="bottom"/>
          </w:tcPr>
          <w:p>
            <w:pPr>
              <w:spacing w:after="0"/>
              <w:rPr>
                <w:sz w:val="14"/>
                <w:szCs w:val="14"/>
                <w:color w:val="auto"/>
              </w:rPr>
            </w:pPr>
          </w:p>
        </w:tc>
        <w:tc>
          <w:tcPr>
            <w:tcW w:w="5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10,833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11,122</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10,325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purchase consideration</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2,323</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2,380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payable, current</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Notes payable – related parties, current</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274</w:t>
            </w:r>
          </w:p>
        </w:tc>
        <w:tc>
          <w:tcPr>
            <w:tcW w:w="5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27,786</w:t>
            </w:r>
          </w:p>
        </w:tc>
        <w:tc>
          <w:tcPr>
            <w:tcW w:w="3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 noncurrent</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 related parties, noncurrent</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Earnout liability</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1,680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liability</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321</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1,024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Liability-classified warrants</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6,859</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2,139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37,449</w:t>
            </w:r>
          </w:p>
        </w:tc>
        <w:tc>
          <w:tcPr>
            <w:tcW w:w="3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33,558</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20" w:type="dxa"/>
            <w:vAlign w:val="bottom"/>
          </w:tcPr>
          <w:p>
            <w:pPr>
              <w:ind w:left="120"/>
              <w:spacing w:after="0" w:line="157" w:lineRule="exact"/>
              <w:rPr>
                <w:sz w:val="20"/>
                <w:szCs w:val="20"/>
                <w:color w:val="auto"/>
              </w:rPr>
            </w:pPr>
            <w:r>
              <w:rPr>
                <w:rFonts w:ascii="Times New Roman" w:cs="Times New Roman" w:eastAsia="Times New Roman" w:hAnsi="Times New Roman"/>
                <w:sz w:val="14"/>
                <w:szCs w:val="14"/>
                <w:color w:val="auto"/>
              </w:rPr>
              <w:t>Class A Common Stock, $0.00001 par value, 285,000,000 shares authorized; 5,883,842 and 3,282,423 shares</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issued and outstanding at September 30, 2025 and 2024, respectively</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2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Class B Common Stock, $0.00001 par value, 5,000,000 shares authorized; 200,491 and 212,991 shares issued and</w:t>
            </w: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outstanding at September 30, 2025 and 2024, respectively</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150,252</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109,987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(150,588)</w:t>
            </w:r>
          </w:p>
        </w:tc>
        <w:tc>
          <w:tcPr>
            <w:tcW w:w="5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(104,457)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160" w:type="dxa"/>
            <w:vAlign w:val="bottom"/>
            <w:tcBorders>
              <w:bottom w:val="single" w:sz="8" w:color="CCEEFF"/>
            </w:tcBorders>
          </w:tcPr>
          <w:p>
            <w:pPr>
              <w:spacing w:after="0"/>
              <w:rPr>
                <w:sz w:val="14"/>
                <w:szCs w:val="14"/>
                <w:color w:val="auto"/>
              </w:rPr>
            </w:pPr>
          </w:p>
        </w:tc>
        <w:tc>
          <w:tcPr>
            <w:tcW w:w="12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340" w:type="dxa"/>
            <w:vAlign w:val="bottom"/>
            <w:tcBorders>
              <w:bottom w:val="single" w:sz="8" w:color="CCEEFF"/>
            </w:tcBorders>
          </w:tcPr>
          <w:p>
            <w:pPr>
              <w:jc w:val="right"/>
              <w:ind w:right="208"/>
              <w:spacing w:after="0"/>
              <w:rPr>
                <w:sz w:val="20"/>
                <w:szCs w:val="20"/>
                <w:color w:val="auto"/>
              </w:rPr>
            </w:pPr>
            <w:r>
              <w:rPr>
                <w:rFonts w:ascii="Times New Roman" w:cs="Times New Roman" w:eastAsia="Times New Roman" w:hAnsi="Times New Roman"/>
                <w:sz w:val="14"/>
                <w:szCs w:val="14"/>
                <w:color w:val="auto"/>
                <w:w w:val="84"/>
              </w:rPr>
              <w:t>)</w:t>
            </w:r>
          </w:p>
        </w:tc>
        <w:tc>
          <w:tcPr>
            <w:tcW w:w="54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and stockholders’ equity (deficit)</w:t>
            </w:r>
          </w:p>
        </w:tc>
        <w:tc>
          <w:tcPr>
            <w:tcW w:w="1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37,113</w:t>
            </w:r>
          </w:p>
        </w:tc>
        <w:tc>
          <w:tcPr>
            <w:tcW w:w="3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39,088</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COMPREHENSIVE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5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revenue:</w:t>
            </w:r>
          </w:p>
        </w:tc>
        <w:tc>
          <w:tcPr>
            <w:tcW w:w="2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3200" w:type="dxa"/>
            <w:vAlign w:val="bottom"/>
            <w:gridSpan w:val="2"/>
          </w:tcPr>
          <w:p>
            <w:pPr>
              <w:jc w:val="right"/>
              <w:ind w:right="85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5,996</w:t>
            </w:r>
          </w:p>
        </w:tc>
        <w:tc>
          <w:tcPr>
            <w:tcW w:w="56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5,890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2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3,916</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net revenue</w:t>
            </w:r>
          </w:p>
        </w:tc>
        <w:tc>
          <w:tcPr>
            <w:tcW w:w="22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5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2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Products</w:t>
            </w:r>
          </w:p>
        </w:tc>
        <w:tc>
          <w:tcPr>
            <w:tcW w:w="2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3,563</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3,752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2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1,342</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cost of revenue</w:t>
            </w:r>
          </w:p>
        </w:tc>
        <w:tc>
          <w:tcPr>
            <w:tcW w:w="22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4,905</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Gross profit</w:t>
            </w:r>
          </w:p>
        </w:tc>
        <w:tc>
          <w:tcPr>
            <w:tcW w:w="2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5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2,419</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5,779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39,556</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41,835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2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725</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1,333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from operations</w:t>
            </w:r>
          </w:p>
        </w:tc>
        <w:tc>
          <w:tcPr>
            <w:tcW w:w="22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(37,693)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55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2,325</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1,582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2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(440)</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(31,879)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2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(804)</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(1,415)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PIPE make-whole liability</w:t>
            </w:r>
          </w:p>
        </w:tc>
        <w:tc>
          <w:tcPr>
            <w:tcW w:w="2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Merger-related transaction costs expensed</w:t>
            </w:r>
          </w:p>
        </w:tc>
        <w:tc>
          <w:tcPr>
            <w:tcW w:w="2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4,009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costs expensed</w:t>
            </w:r>
          </w:p>
        </w:tc>
        <w:tc>
          <w:tcPr>
            <w:tcW w:w="2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7,266</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2,894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Other non-operating losses, net</w:t>
            </w:r>
          </w:p>
        </w:tc>
        <w:tc>
          <w:tcPr>
            <w:tcW w:w="2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1,707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22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(46,124)</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(22,463)</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2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(2,429)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 and comprehensive loss</w:t>
            </w:r>
          </w:p>
        </w:tc>
        <w:tc>
          <w:tcPr>
            <w:tcW w:w="222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(46,131)</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(20,034)</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Deemed dividend from warrant price adjustment</w:t>
            </w:r>
          </w:p>
        </w:tc>
        <w:tc>
          <w:tcPr>
            <w:tcW w:w="2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 available to common stockholders</w:t>
            </w:r>
          </w:p>
        </w:tc>
        <w:tc>
          <w:tcPr>
            <w:tcW w:w="222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(46,131</w:t>
            </w:r>
          </w:p>
        </w:tc>
        <w:tc>
          <w:tcPr>
            <w:tcW w:w="200" w:type="dxa"/>
            <w:vAlign w:val="bottom"/>
            <w:tcBorders>
              <w:top w:val="single" w:sz="8" w:color="CCEEFF"/>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(20,695</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55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per share of Class A and Class B Common Stock:</w:t>
            </w:r>
          </w:p>
        </w:tc>
        <w:tc>
          <w:tcPr>
            <w:tcW w:w="2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3200" w:type="dxa"/>
            <w:vAlign w:val="bottom"/>
            <w:gridSpan w:val="2"/>
          </w:tcPr>
          <w:p>
            <w:pPr>
              <w:jc w:val="right"/>
              <w:ind w:right="85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(10.15)</w:t>
            </w:r>
          </w:p>
        </w:tc>
        <w:tc>
          <w:tcPr>
            <w:tcW w:w="56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560" w:type="dxa"/>
            <w:vAlign w:val="bottom"/>
            <w:tcBorders>
              <w:top w:val="single" w:sz="8" w:color="CCEEFF"/>
              <w:bottom w:val="single" w:sz="8" w:color="CCEEFF"/>
            </w:tcBorders>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Diluted</w:t>
            </w:r>
          </w:p>
        </w:tc>
        <w:tc>
          <w:tcPr>
            <w:tcW w:w="222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(10.15</w:t>
            </w:r>
          </w:p>
        </w:tc>
        <w:tc>
          <w:tcPr>
            <w:tcW w:w="200" w:type="dxa"/>
            <w:vAlign w:val="bottom"/>
            <w:tcBorders>
              <w:top w:val="single" w:sz="8" w:color="CCEEFF"/>
              <w:bottom w:val="single" w:sz="8" w:color="CCEEFF"/>
            </w:tcBorders>
            <w:shd w:val="clear" w:color="auto" w:fill="CCEEFF"/>
          </w:tcPr>
          <w:p>
            <w:pPr>
              <w:jc w:val="right"/>
              <w:ind w:right="68"/>
              <w:spacing w:after="0" w:line="145"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ind w:right="268"/>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(7.53</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2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580" w:type="dxa"/>
            <w:vAlign w:val="bottom"/>
            <w:gridSpan w:val="2"/>
            <w:vMerge w:val="continue"/>
          </w:tcPr>
          <w:p>
            <w:pPr>
              <w:spacing w:after="0"/>
              <w:rPr>
                <w:sz w:val="12"/>
                <w:szCs w:val="12"/>
                <w:color w:val="auto"/>
              </w:rPr>
            </w:pPr>
          </w:p>
        </w:tc>
        <w:tc>
          <w:tcPr>
            <w:tcW w:w="2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4,546,509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2,841,958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4,546,509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2,948,302</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21" w:name="page122"/>
    <w:bookmarkEnd w:id="121"/>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REDEEMABLE CONVERTIBLE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 AND STOCKHOLDERS’ EQUITY (DEFICIT)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4"/>
          </w:tcPr>
          <w:p>
            <w:pPr>
              <w:jc w:val="center"/>
              <w:ind w:left="95"/>
              <w:spacing w:after="0"/>
              <w:rPr>
                <w:sz w:val="20"/>
                <w:szCs w:val="20"/>
                <w:color w:val="auto"/>
              </w:rPr>
            </w:pPr>
            <w:r>
              <w:rPr>
                <w:rFonts w:ascii="Times New Roman" w:cs="Times New Roman" w:eastAsia="Times New Roman" w:hAnsi="Times New Roman"/>
                <w:sz w:val="13"/>
                <w:szCs w:val="13"/>
                <w:b w:val="1"/>
                <w:bCs w:val="1"/>
                <w:color w:val="auto"/>
              </w:rPr>
              <w:t>Founders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4"/>
          </w:tcPr>
          <w:p>
            <w:pPr>
              <w:jc w:val="center"/>
              <w:ind w:left="95"/>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40" w:type="dxa"/>
            <w:vAlign w:val="bottom"/>
          </w:tcPr>
          <w:p>
            <w:pPr>
              <w:spacing w:after="0"/>
              <w:rPr>
                <w:sz w:val="13"/>
                <w:szCs w:val="13"/>
                <w:color w:val="auto"/>
              </w:rPr>
            </w:pPr>
          </w:p>
        </w:tc>
        <w:tc>
          <w:tcPr>
            <w:tcW w:w="1220" w:type="dxa"/>
            <w:vAlign w:val="bottom"/>
            <w:tcBorders>
              <w:right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Contingently</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4"/>
          </w:tcPr>
          <w:p>
            <w:pPr>
              <w:jc w:val="center"/>
              <w:ind w:left="95"/>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Convertible</w:t>
            </w:r>
          </w:p>
        </w:tc>
        <w:tc>
          <w:tcPr>
            <w:tcW w:w="40" w:type="dxa"/>
            <w:vAlign w:val="bottom"/>
          </w:tcPr>
          <w:p>
            <w:pPr>
              <w:spacing w:after="0"/>
              <w:rPr>
                <w:sz w:val="14"/>
                <w:szCs w:val="14"/>
                <w:color w:val="auto"/>
              </w:rPr>
            </w:pPr>
          </w:p>
        </w:tc>
        <w:tc>
          <w:tcPr>
            <w:tcW w:w="1220" w:type="dxa"/>
            <w:vAlign w:val="bottom"/>
            <w:tcBorders>
              <w:right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40" w:type="dxa"/>
            <w:vAlign w:val="bottom"/>
          </w:tcPr>
          <w:p>
            <w:pPr>
              <w:spacing w:after="0"/>
              <w:rPr>
                <w:sz w:val="14"/>
                <w:szCs w:val="14"/>
                <w:color w:val="auto"/>
              </w:rPr>
            </w:pPr>
          </w:p>
        </w:tc>
        <w:tc>
          <w:tcPr>
            <w:tcW w:w="1340" w:type="dxa"/>
            <w:vAlign w:val="bottom"/>
            <w:gridSpan w:val="6"/>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Legacy</w:t>
            </w:r>
          </w:p>
        </w:tc>
        <w:tc>
          <w:tcPr>
            <w:tcW w:w="40" w:type="dxa"/>
            <w:vAlign w:val="bottom"/>
          </w:tcPr>
          <w:p>
            <w:pPr>
              <w:spacing w:after="0"/>
              <w:rPr>
                <w:sz w:val="14"/>
                <w:szCs w:val="14"/>
                <w:color w:val="auto"/>
              </w:rPr>
            </w:pPr>
          </w:p>
        </w:tc>
        <w:tc>
          <w:tcPr>
            <w:tcW w:w="128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60" w:type="dxa"/>
            <w:vAlign w:val="bottom"/>
          </w:tcPr>
          <w:p>
            <w:pPr>
              <w:spacing w:after="0"/>
              <w:rPr>
                <w:sz w:val="14"/>
                <w:szCs w:val="14"/>
                <w:color w:val="auto"/>
              </w:rPr>
            </w:pPr>
          </w:p>
        </w:tc>
        <w:tc>
          <w:tcPr>
            <w:tcW w:w="120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60" w:type="dxa"/>
            <w:vAlign w:val="bottom"/>
          </w:tcPr>
          <w:p>
            <w:pPr>
              <w:spacing w:after="0"/>
              <w:rPr>
                <w:sz w:val="15"/>
                <w:szCs w:val="15"/>
                <w:color w:val="auto"/>
              </w:rPr>
            </w:pPr>
          </w:p>
        </w:tc>
        <w:tc>
          <w:tcPr>
            <w:tcW w:w="12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Preferred Stock</w:t>
            </w:r>
          </w:p>
        </w:tc>
        <w:tc>
          <w:tcPr>
            <w:tcW w:w="40" w:type="dxa"/>
            <w:vAlign w:val="bottom"/>
          </w:tcPr>
          <w:p>
            <w:pPr>
              <w:spacing w:after="0"/>
              <w:rPr>
                <w:sz w:val="15"/>
                <w:szCs w:val="15"/>
                <w:color w:val="auto"/>
              </w:rPr>
            </w:pPr>
          </w:p>
        </w:tc>
        <w:tc>
          <w:tcPr>
            <w:tcW w:w="1220" w:type="dxa"/>
            <w:vAlign w:val="bottom"/>
            <w:tcBorders>
              <w:right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40" w:type="dxa"/>
            <w:vAlign w:val="bottom"/>
          </w:tcPr>
          <w:p>
            <w:pPr>
              <w:spacing w:after="0"/>
              <w:rPr>
                <w:sz w:val="15"/>
                <w:szCs w:val="15"/>
                <w:color w:val="auto"/>
              </w:rPr>
            </w:pPr>
          </w:p>
        </w:tc>
        <w:tc>
          <w:tcPr>
            <w:tcW w:w="1340" w:type="dxa"/>
            <w:vAlign w:val="bottom"/>
            <w:gridSpan w:val="6"/>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 w:type="dxa"/>
            <w:vAlign w:val="bottom"/>
          </w:tcPr>
          <w:p>
            <w:pPr>
              <w:spacing w:after="0"/>
              <w:rPr>
                <w:sz w:val="15"/>
                <w:szCs w:val="15"/>
                <w:color w:val="auto"/>
              </w:rPr>
            </w:pPr>
          </w:p>
        </w:tc>
        <w:tc>
          <w:tcPr>
            <w:tcW w:w="128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5"/>
                <w:szCs w:val="15"/>
                <w:color w:val="auto"/>
              </w:rPr>
            </w:pPr>
          </w:p>
        </w:tc>
        <w:tc>
          <w:tcPr>
            <w:tcW w:w="120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2023</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58,823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166,666  $</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2,300</w:t>
            </w:r>
          </w:p>
        </w:tc>
        <w:tc>
          <w:tcPr>
            <w:tcW w:w="40" w:type="dxa"/>
            <w:vAlign w:val="bottom"/>
            <w:shd w:val="clear" w:color="auto" w:fill="CCEEFF"/>
          </w:tcPr>
          <w:p>
            <w:pPr>
              <w:spacing w:after="0"/>
              <w:rPr>
                <w:sz w:val="15"/>
                <w:szCs w:val="15"/>
                <w:color w:val="auto"/>
              </w:rPr>
            </w:pPr>
          </w:p>
        </w:tc>
        <w:tc>
          <w:tcPr>
            <w:tcW w:w="6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  $</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1,669,217</w:t>
            </w: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78,421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(83,762)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(5,341)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48,217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43,783</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3,607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contingently</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redeemable</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 acquisition</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 EMI</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Solutions, Inc.</w:t>
            </w: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96,491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8,856</w:t>
            </w: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Lapse of</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redemption</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feature on</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(96,491)</w:t>
            </w:r>
          </w:p>
        </w:tc>
        <w:tc>
          <w:tcPr>
            <w:tcW w:w="10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(8,856)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96,491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8,856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Reverse</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recapitalization</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9"/>
              </w:rPr>
              <w:t>transactions, net</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 3)</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(58,823)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(166,666)</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(2,300)</w:t>
            </w:r>
          </w:p>
        </w:tc>
        <w:tc>
          <w:tcPr>
            <w:tcW w:w="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(1,813,925)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2,290,180</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225,490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(16,083)</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(16,083)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for acquisition</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of RaGE</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Systems, Inc.</w:t>
            </w:r>
          </w:p>
        </w:tc>
        <w:tc>
          <w:tcPr>
            <w:tcW w:w="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321,404</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7,682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warrants in</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connection with</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notes payable</w:t>
            </w: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515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placement</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agent warrants</w:t>
            </w:r>
          </w:p>
        </w:tc>
        <w:tc>
          <w:tcPr>
            <w:tcW w:w="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upon exercise</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of stock options</w:t>
            </w: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152,163</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upon exercise</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of warrants</w:t>
            </w:r>
          </w:p>
        </w:tc>
        <w:tc>
          <w:tcPr>
            <w:tcW w:w="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341,035</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3,397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upon vesting of</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RSUs</w:t>
            </w: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16,146</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PIPE make-</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whole shares</w:t>
            </w:r>
          </w:p>
        </w:tc>
        <w:tc>
          <w:tcPr>
            <w:tcW w:w="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105,202</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 of</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B</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 Class A</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12,500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(12,500)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Deemed</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dividend from</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warrant price</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adjustment</w:t>
            </w:r>
          </w:p>
        </w:tc>
        <w:tc>
          <w:tcPr>
            <w:tcW w:w="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(661)</w:t>
            </w: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21,383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21,383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(20,034)</w:t>
            </w:r>
          </w:p>
        </w:tc>
        <w:tc>
          <w:tcPr>
            <w:tcW w:w="1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(20,034)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6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5"/>
                <w:szCs w:val="15"/>
                <w:color w:val="auto"/>
              </w:rPr>
            </w:pP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3,282,423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212,991</w:t>
            </w: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109,987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(104,457)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5,530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Class A</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and warrants in</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private</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placement</w:t>
            </w:r>
          </w:p>
        </w:tc>
        <w:tc>
          <w:tcPr>
            <w:tcW w:w="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385,000</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342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205,821</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2,199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Class A</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for RaGE</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earnout</w:t>
            </w:r>
          </w:p>
        </w:tc>
        <w:tc>
          <w:tcPr>
            <w:tcW w:w="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64,280</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1,808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A</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 settlement of</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w:t>
            </w: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143,540</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1,535</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upon exercise</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of warrants</w:t>
            </w:r>
          </w:p>
        </w:tc>
        <w:tc>
          <w:tcPr>
            <w:tcW w:w="6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903,852</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8,762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upon vesting of</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RSUs</w:t>
            </w: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226,425</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80"/>
          </w:cols>
          <w:pgMar w:left="300" w:top="575" w:right="319" w:bottom="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Issuance of</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510,000</w:t>
            </w:r>
          </w:p>
        </w:tc>
        <w:tc>
          <w:tcPr>
            <w:tcW w:w="260" w:type="dxa"/>
            <w:vAlign w:val="bottom"/>
          </w:tcPr>
          <w:p>
            <w:pPr>
              <w:spacing w:after="0"/>
              <w:rPr>
                <w:sz w:val="13"/>
                <w:szCs w:val="13"/>
                <w:color w:val="auto"/>
              </w:rPr>
            </w:pP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1"/>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awards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pledged as</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940" w:type="dxa"/>
            <w:vAlign w:val="bottom"/>
            <w:gridSpan w:val="3"/>
            <w:vMerge w:val="restart"/>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collateral</w:t>
            </w: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vMerge w:val="continue"/>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150,000</w:t>
            </w: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1"/>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Conversion of</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Class B</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to Class A</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vMerge w:val="continue"/>
          </w:tcPr>
          <w:p>
            <w:pPr>
              <w:spacing w:after="0"/>
              <w:rPr>
                <w:sz w:val="14"/>
                <w:szCs w:val="14"/>
                <w:color w:val="auto"/>
              </w:rPr>
            </w:pP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12,500</w:t>
            </w:r>
          </w:p>
        </w:tc>
        <w:tc>
          <w:tcPr>
            <w:tcW w:w="260" w:type="dxa"/>
            <w:vAlign w:val="bottom"/>
          </w:tcPr>
          <w:p>
            <w:pPr>
              <w:spacing w:after="0"/>
              <w:rPr>
                <w:sz w:val="14"/>
                <w:szCs w:val="14"/>
                <w:color w:val="auto"/>
              </w:rPr>
            </w:pP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(12,500)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25,619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25,619</w:t>
            </w:r>
          </w:p>
        </w:tc>
        <w:tc>
          <w:tcPr>
            <w:tcW w:w="0" w:type="dxa"/>
            <w:vAlign w:val="bottom"/>
          </w:tcPr>
          <w:p>
            <w:pPr>
              <w:spacing w:after="0"/>
              <w:rPr>
                <w:sz w:val="1"/>
                <w:szCs w:val="1"/>
                <w:color w:val="auto"/>
              </w:rPr>
            </w:pPr>
          </w:p>
        </w:tc>
      </w:tr>
      <w:tr>
        <w:trPr>
          <w:trHeight w:val="167"/>
        </w:trPr>
        <w:tc>
          <w:tcPr>
            <w:tcW w:w="8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(46,131)</w:t>
            </w:r>
          </w:p>
        </w:tc>
        <w:tc>
          <w:tcPr>
            <w:tcW w:w="26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(46,131)</w:t>
            </w:r>
          </w:p>
        </w:tc>
        <w:tc>
          <w:tcPr>
            <w:tcW w:w="0" w:type="dxa"/>
            <w:vAlign w:val="bottom"/>
          </w:tcPr>
          <w:p>
            <w:pPr>
              <w:spacing w:after="0"/>
              <w:rPr>
                <w:sz w:val="1"/>
                <w:szCs w:val="1"/>
                <w:color w:val="auto"/>
              </w:rPr>
            </w:pPr>
          </w:p>
        </w:tc>
      </w:tr>
      <w:tr>
        <w:trPr>
          <w:trHeight w:val="134"/>
        </w:trPr>
        <w:tc>
          <w:tcPr>
            <w:tcW w:w="880" w:type="dxa"/>
            <w:vAlign w:val="bottom"/>
            <w:tcBorders>
              <w:top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right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right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rPr>
              <w:t>—  $</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5,883,842</w:t>
            </w:r>
          </w:p>
        </w:tc>
        <w:tc>
          <w:tcPr>
            <w:tcW w:w="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200,491</w:t>
            </w: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150,252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(150,588) $</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(336)</w:t>
            </w: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2200" w:type="dxa"/>
            <w:vAlign w:val="bottom"/>
            <w:gridSpan w:val="2"/>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(46,131)</w:t>
            </w:r>
          </w:p>
        </w:tc>
        <w:tc>
          <w:tcPr>
            <w:tcW w:w="5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(20,034)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366</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1,543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725</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Issuance of warrants in connection with financing activities, charged to expense</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6,458</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(440)</w:t>
            </w:r>
          </w:p>
        </w:tc>
        <w:tc>
          <w:tcPr>
            <w:tcW w:w="54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(31,879)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(804)</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PIPE make-whole liability</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Merger-related transaction costs expensed</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Private placement costs expensed</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280</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2,894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25,619</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21,383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income taxes</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w:t>
            </w:r>
          </w:p>
        </w:tc>
        <w:tc>
          <w:tcPr>
            <w:tcW w:w="54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(2,432)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non-cash items</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751</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693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 of businesses:</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Accounts receivable</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Inventory</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290</w:t>
            </w:r>
          </w:p>
        </w:tc>
        <w:tc>
          <w:tcPr>
            <w:tcW w:w="54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Accounts payable</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(1,283)</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3,862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922</w:t>
            </w:r>
          </w:p>
        </w:tc>
        <w:tc>
          <w:tcPr>
            <w:tcW w:w="5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2,852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0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(10,113)</w:t>
            </w:r>
          </w:p>
        </w:tc>
        <w:tc>
          <w:tcPr>
            <w:tcW w:w="3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0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(26)</w:t>
            </w:r>
          </w:p>
        </w:tc>
        <w:tc>
          <w:tcPr>
            <w:tcW w:w="54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9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(1,064)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0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0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common stock and warrants in private placements</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3,645</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3,585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exercise of common stock warrants</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4,520</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issuance of notes payable</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5,317</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1,198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issuance of notes payable – related parties</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Principal payments on notes payable</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(1,215)</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(1,749)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Principal payments on notes payable – related parties</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(574)</w:t>
            </w:r>
          </w:p>
        </w:tc>
        <w:tc>
          <w:tcPr>
            <w:tcW w:w="54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consideration paid for acquisitions of businesses</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(174)</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the Merger and PIPE</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21,014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Merger-related transaction costs paid</w:t>
            </w:r>
          </w:p>
        </w:tc>
        <w:tc>
          <w:tcPr>
            <w:tcW w:w="9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(6,946)</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00" w:type="dxa"/>
            <w:vAlign w:val="bottom"/>
            <w:tcBorders>
              <w:bottom w:val="single" w:sz="8" w:color="CCEEFF"/>
            </w:tcBorders>
          </w:tcPr>
          <w:p>
            <w:pPr>
              <w:spacing w:after="0"/>
              <w:rPr>
                <w:sz w:val="14"/>
                <w:szCs w:val="14"/>
                <w:color w:val="auto"/>
              </w:rPr>
            </w:pPr>
          </w:p>
        </w:tc>
        <w:tc>
          <w:tcPr>
            <w:tcW w:w="13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13,119</w:t>
            </w:r>
          </w:p>
        </w:tc>
        <w:tc>
          <w:tcPr>
            <w:tcW w:w="34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19,673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0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in cash</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beginning of period</w:t>
            </w:r>
          </w:p>
        </w:tc>
        <w:tc>
          <w:tcPr>
            <w:tcW w:w="9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266</w:t>
            </w:r>
          </w:p>
        </w:tc>
        <w:tc>
          <w:tcPr>
            <w:tcW w:w="5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end of period</w:t>
            </w:r>
          </w:p>
        </w:tc>
        <w:tc>
          <w:tcPr>
            <w:tcW w:w="90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1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34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0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2200" w:type="dxa"/>
            <w:vAlign w:val="bottom"/>
            <w:gridSpan w:val="2"/>
            <w:shd w:val="clear" w:color="auto" w:fill="CCEEFF"/>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60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Settlement of notes payable and other liabilities in Class A Common Stock</w:t>
            </w:r>
          </w:p>
        </w:tc>
        <w:tc>
          <w:tcPr>
            <w:tcW w:w="2200" w:type="dxa"/>
            <w:vAlign w:val="bottom"/>
            <w:gridSpan w:val="2"/>
            <w:shd w:val="clear" w:color="auto" w:fill="CCEEFF"/>
          </w:tcPr>
          <w:p>
            <w:pPr>
              <w:jc w:val="right"/>
              <w:ind w:right="11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Common Stock issued for RaGE earnout</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Unpaid Merger-related transaction costs</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1,423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Contingently redeemable convertible stock issued for acquisition of EMI Solutions, Inc.</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A Common Stock issued for acquisition of RaGE Systems, Inc.</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7,682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purchase consideration for acquisitions of businesses</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Conversion of SAFEs to common stock</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Deemed dividend from warrant price adjustment</w:t>
            </w: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warrants in connection with notes payable, recorded as debt discount</w:t>
            </w:r>
          </w:p>
        </w:tc>
        <w:tc>
          <w:tcPr>
            <w:tcW w:w="9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Company Information</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December 21, 2023, (the “Closing Date”), Chavant Capital Acquisition Corp. (“Chavant”) consummated the merger pursuant to the Business Combination Agreement, dated November 15, 2022 (as amended, supplemented or otherwise modified, the “Business Combination Agreement”), by and among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and Legacy Mobix changed its name from “Mobix Labs, Inc.” to “Mobix Labs Operations, Inc.” As a result of the Merger, the Company raised gross proceeds of $21,014, including the contribution of $1,264 of cash held in Chavant’s trust account and the $19,750 private investment in public equity (“PIPE”) at $10.00 per share of Chavant’s Class A Common Stock. The common stock and public warrants of the combined company began trading on The Nasdaq Stock Market LLC under the symbols “MOBX” and “MOBXW,” respectively, on December 22, 2023.</w:t>
      </w:r>
    </w:p>
    <w:p>
      <w:pPr>
        <w:spacing w:after="0" w:line="14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Throughout the notes to the consolidated financial statements, unless otherwise noted or otherwise suggested by context, the “Company” refers to Legacy Mobix prior to the consummation of the Merger, and to the Company after the consummation of the Merger.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Going Concern</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For the years ended September 30, 2025 and 2024, the Company incurred losses from operations of $37,693 and $46,395, respectively, and as of September 30, 2025, the Company had an accumulated deficit of $150,588.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consolidated financial statements do not include any adjustments that might result from the outcome of these uncertainties. Accordingly, the consolidated financial statements have been prepared on a basis that assumes the Company will continue as a going concern and which contemplates the realization of assets and the satisfaction of liabilities and commitments in the ordinary course of business.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The Merger was accounted for as a reverse recapitalization of the Company because Legacy Mobix has been determined to be the accounting acquirer under ASC Topic 805 –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Combinations</w:t>
      </w:r>
      <w:r>
        <w:rPr>
          <w:rFonts w:ascii="Times New Roman" w:cs="Times New Roman" w:eastAsia="Times New Roman" w:hAnsi="Times New Roman"/>
          <w:sz w:val="14"/>
          <w:szCs w:val="14"/>
          <w:color w:val="auto"/>
        </w:rPr>
        <w:t>. Under this method of accounting, Chavant is treated as the “acquired” company for financial reporting purposes. This determination was primarily based on holders of Legacy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Mobix capital stock comprising a relative majority of the voting power of the Company upon consummation of the Merger and having the ability to nominate the majority of the governing body of the Company, Legacy Mobix senior management comprising the senior management of the Company, and Legacy Mobix operations comprising the ongoing operations of the Company. Accordingly, for accounting purposes, the financial statements of the Company represent a continuation of the financial statements of Legacy Mobix with the Merger being treated as the equivalent of Legacy Mobix issuing shares for the net assets of Chavant, accompanied by a recapitalization. The net assets of Chavant were recognized as of the Closing at historical cost, with no goodwill or other intangible assets recorded. Operations prior to the Merger are presented as those of Legacy Mobix and the accumulated deficit of Legacy Mobix has been carried forward after Closing. All issued and outstanding securities of Chavant upon Closing were treated as issuances of securities of the Company upon the consummation of the Merger.</w:t>
      </w:r>
    </w:p>
    <w:p>
      <w:pPr>
        <w:spacing w:after="0" w:line="14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consolidated financial statements have been prepared in accordance with accounting principles generally accepted in the United States of America (“GAAP”) and include the accounts of Mobix Labs, Inc. and its subsidiaries. The Company’s fiscal year ends on September 30.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Principles of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consolidated financial statements include the accounts of the Company and its wholly owned subsidiaries. All intercompany balances and transactions have been eliminated in consolidation.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prior year amounts have been reclassified for consistency with the current year presentation.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preparation of the Company’s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spacing w:after="0" w:line="319" w:lineRule="exact"/>
        <w:rPr>
          <w:sz w:val="20"/>
          <w:szCs w:val="20"/>
          <w:color w:val="auto"/>
        </w:rPr>
      </w:pPr>
    </w:p>
    <w:p>
      <w:pPr>
        <w:ind w:left="520" w:hanging="256"/>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valuation of stock-based compensation and equity-based awards;</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valuation of common stock for periods prior to the Merger;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0" w:lineRule="exact"/>
        <w:rPr>
          <w:sz w:val="20"/>
          <w:szCs w:val="20"/>
          <w:color w:val="auto"/>
        </w:rPr>
      </w:pPr>
    </w:p>
    <w:p>
      <w:pPr>
        <w:ind w:left="520" w:hanging="256"/>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assessments of goodwill and long-lived assets;</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measurement of liabilities carried at fair value, including the earnout liability, the PIPE make-whole liability and liability-classified warrants;</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price allocations and valuations of net assets acquired in business combinations; and,</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income taxes and related valuation allowances and tax uncertainties.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As of September 30, 2025 and 2024, the Company’s cash balance consisted of demand deposits held at large financial institutions. The Company considers all highly liquid investments with a maturity of three months or less to be cash equivalents. The Company had no cash equivalents as of September 30, 2025 or 2024. The amount of deposits maintained at any financial institution may exceed federally insured limits. The Company places its cash with high credit quality financial institutions and has not experienced any losses on its deposits of cash.</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Accounts Receivable, net</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Accounts receivable are recorded at the invoiced amount and do not bear interest. For trade accounts receivable from customers, the Company performs ongoing credit evaluations of its customers and maintains an allowance for expected credit losses. The allowance for expected credit losses represents the Company’s best estimate based on current and historical information, and reasonable and supportable forecasts of future events and circumstances. Accounts receivable deemed uncollectible are charged against the allowance for expected credit losses when identified. The allowance for expected credit losses as of September 30, 2025 and 2024 and bad debt expense for the years ended September 30, 2025 and 2024 were not material.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Inventory</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Inventory is stated at the lower of cost, determined on a first-in, first-out basis, or net realizable value. Inventory costs consist of purchased materials, outside manufacturing costs, inbound freight and receiving costs, and capitalized overhead. The Company records an inventory reserve for losses associated with excess and obsolete items, based on available information and the Company’s current expectations of future demand, product obsolescence and market conditions. Any provision for excess and obsolete inventory is charged to cost of revenue and is a permanent reduction of the carrying value of inventory. The reserve for excess and obsolete inventory as of September 30, 2025 and 2024 and write-downs of obsolete inventory for the years ended September 30, 2025 and 2024 were not material.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Property and equipment, net</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Company’s property and equipment primarily consists of laboratory equipment, computer hardware, equipment, furniture and fixtures and leasehold improvements. Property and equipment are recorded at cost less accumulated depreciation and any accumulated impairment losses. Depreciation and amortization are computed using the straight-line method over the assets’ estimated useful lives. Major improvements are capitalized, while routine maintenance and repairs which do not significantly improve or extend the useful life of an asset are expensed when incurred. Upon the sale or retirement of assets, costs and the related accumulated depreciation and amortization are removed from the accounts and any gain or loss is included in the consolidated statements of operations and comprehensive loss. See Note 6, </w:t>
      </w:r>
      <w:r>
        <w:rPr>
          <w:rFonts w:ascii="Times New Roman" w:cs="Times New Roman" w:eastAsia="Times New Roman" w:hAnsi="Times New Roman"/>
          <w:sz w:val="14"/>
          <w:szCs w:val="14"/>
          <w:i w:val="1"/>
          <w:iCs w:val="1"/>
          <w:color w:val="auto"/>
        </w:rPr>
        <w:t>Property and Equipment, net</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Intangible Assets, net</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Company’s intangible assets principally consist of acquired developed technology and customer relationships and have finite lives ranging from one to fifteen years. The Company amortizes intangible assets over their useful lives on a straight-line basis, which the Company believes approximates the pattern in which the economic benefits of the intangible assets are expected to be utilized. To the extent that an acquired developed technology is incorporated in, or used to produce, a product the Company currently produces and sells, the related amortization expense is included in cost of revenue in the consolidated statements of operations and comprehensive loss. Amortization expense on other acquisition-related intangible assets is included in operating expenses.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Long-Lived Assets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recognized impairment losses on long-lived assets of $725 and $1,333, respectively, for the years ended September 30, 2025 and 2024. See Note 7, </w:t>
      </w:r>
      <w:r>
        <w:rPr>
          <w:rFonts w:ascii="Times New Roman" w:cs="Times New Roman" w:eastAsia="Times New Roman" w:hAnsi="Times New Roman"/>
          <w:sz w:val="14"/>
          <w:szCs w:val="14"/>
          <w:i w:val="1"/>
          <w:iCs w:val="1"/>
          <w:color w:val="auto"/>
        </w:rPr>
        <w:t>Intangible Assets, net</w:t>
      </w:r>
      <w:r>
        <w:rPr>
          <w:rFonts w:ascii="Times New Roman" w:cs="Times New Roman" w:eastAsia="Times New Roman" w:hAnsi="Times New Roman"/>
          <w:sz w:val="14"/>
          <w:szCs w:val="14"/>
          <w:color w:val="auto"/>
        </w:rPr>
        <w:t xml:space="preserve"> and Note 11, </w:t>
      </w:r>
      <w:r>
        <w:rPr>
          <w:rFonts w:ascii="Times New Roman" w:cs="Times New Roman" w:eastAsia="Times New Roman" w:hAnsi="Times New Roman"/>
          <w:sz w:val="14"/>
          <w:szCs w:val="14"/>
          <w:i w:val="1"/>
          <w:iCs w:val="1"/>
          <w:color w:val="auto"/>
        </w:rPr>
        <w:t>Leases.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Significant judgment may be required when goodwill is assessed for impairment. Qualitative factors may be assessed to determine whether it is more likely than not that the fair value of a reporting unit is less than its carrying amount. If the assessment of all relevant qualitative factors indicates that it is more likely than not that the fair value of a reporting unit is greater than its carrying amount, a quantitative goodwill impairment test is not necessary. If the assessment of all relevant qualitative factors indicates that it is more likely than not that the fair value of a reporting unit is less than its carrying amount, the Company will perform a quantitative goodwill impairment test. The quantitative impairment test for goodwill consists of a comparison of the fair value of a reporting unit with its carrying value, including the goodwill allocated to that reporting unit. If the carrying value of a reporting unit exceeds its fair value, the Company will recognize an impairment loss equal to the amount of the excess, limited to the amount of goodwill allocated to that reporting unit. Application of the impairment test requires judgment, including the identification of reporting units, assignment of assets and liabilities to reporting units and the determination of fair value of each reporting unit. The Company performed its annual qualitative impairment test and determined it was not more likely than not that the fair value of its reporting unit was less than its carrying amount. The Company did not record any goodwill impairment losses for the years ended September 30, 2025 and 2024.</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Combinations</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 allocates the purchase price of an acquisition to the tangible assets acquired, liabilities assumed, and intangible assets acquired, based on their estimated fair values. The excess of the purchase price over the fair values of the net assets acquired is recorded as goodwill.</w:t>
      </w:r>
    </w:p>
    <w:p>
      <w:pPr>
        <w:spacing w:after="0" w:line="1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Accounting for business combinations requires that management make significant estimates and assumptions to determine the fair value of assets acquired and liabilities assumed at the acquisition date. Although management believes the assumptions and estimates to be reasonable and appropriate, they are inherently uncertain. Critical estimates in valuing certain acquired assets may include, but are not limited to, expected future cash flows including revenue growth rate assumptions from product sales, customer contracts and acquired technologies, expected costs to develop acquired technology into commercially viable products, estimated cash flows from the projects when completed, including assumptions associated with the technology migration curve and expected selling, general and administrative costs. The discount rates used to discount expected future cash flows to present value are typically derived from a weighted-average cost of capital analysis and are adjusted to reflect inherent risks. Unanticipated events and circumstances may occur that could affect either the accuracy or validity of such assumptions, estimates or actual results.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Measurements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paid to transfer a liability (an exit price) in an orderly transaction between market participants at the measurement date. The Company uses a three-tiered hierarchy for inputs used in measuring fair value that emphasizes the use of observable inputs over the use of unobservable inputs by requiring that the most observable inputs be used when available. Observable inputs are market participant assumptions based on market data obtained from sources independent of the Company. Unobservable inputs are the Company’s own assumptions of what market participants would use in pricing an asset or liability based on the best information available in the circumstances. The financial and nonfinancial assets and liabilities are classified based on the lowest level of input that is significant to the fair value measurement.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basis for considering such assumptions, a three-tier hierarchy is used in management’s determination of fair value based on the reliability and observability of inputs as follows: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Level 1 — Observable inputs that include quoted prices in active markets for identical assets or liabilities.</w:t>
      </w:r>
    </w:p>
    <w:p>
      <w:pPr>
        <w:spacing w:after="0" w:line="183" w:lineRule="exact"/>
        <w:rPr>
          <w:sz w:val="20"/>
          <w:szCs w:val="20"/>
          <w:color w:val="auto"/>
        </w:rPr>
      </w:pPr>
    </w:p>
    <w:p>
      <w:pPr>
        <w:ind w:left="260"/>
        <w:spacing w:after="0" w:line="293" w:lineRule="auto"/>
        <w:rPr>
          <w:sz w:val="20"/>
          <w:szCs w:val="20"/>
          <w:color w:val="auto"/>
        </w:rPr>
      </w:pPr>
      <w:r>
        <w:rPr>
          <w:rFonts w:ascii="Times New Roman" w:cs="Times New Roman" w:eastAsia="Times New Roman" w:hAnsi="Times New Roman"/>
          <w:sz w:val="14"/>
          <w:szCs w:val="14"/>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Level 3 — Unobservable pricing inputs that are generally less observable from objective sources, such as discounted cash flow models or valuations.</w:t>
      </w:r>
    </w:p>
    <w:p>
      <w:pPr>
        <w:spacing w:after="0" w:line="18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Company’s non-financial assets, including property and equipment, intangible assets and goodwill, are measured at estimated fair value on a nonrecurring basis. These assets are adjusted to fair value only when an impairment is recognized, or in the event an asset is held for sale.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Common Stock</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determines the fair value of shares of its common stock by reference to quoted market prices. Prior to the Closing, there was no public market for the Company’s common stock, and the Company determined the fair value of shares of its common stock considering a number of objective and subjective factors, including: third-party valuations of its common stock, the valuation of comparable companies, sales of the Company’s common stock to outside investors in arms-length transactions, the Company’s forecasted financial performance, operational developments and milestones, the lack of marketability, the likelihood of achieving a liquidity event and the general and industry specific economic outlook.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Classification of Warrants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accounts for warrants to purchase its common stock as either equity-classified or liability-classified instruments based on an assessment of the warrant’s specific terms and applicable authoritative guidance in ASC Topic 480,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xml:space="preserve"> (“ASC 480”) and ASC Topic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(“ASC 815”). The assessment considers whether the warrants are freestanding financial instruments pursuant to ASC 480, meet the liability classification requirements pursuant to ASC 480, and whether the warrants meet all of the requirements for equity classification under ASC 815, including whether the warrants are indexed to the Company’s own stock, among other conditions for equity classification. This assessment, which requires the use of professional judgment, is conducted when warrants are issued or modified and as of each subsequent period end date while the warrants are outstanding.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Loss Per Share</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Basic and diluted net loss per share attributable to common stockholders is presented using the two-class method required for participating securities. Under the two-class method, net loss is attributed to the Class A and Class B Common Stock and other participating securities according to dividends declared or accumulated and participation rights in undistributed earnings. Basic net loss per share is computed by dividing the net loss by the weighted-average number of shares of common stock outstanding during the period. Diluted net loss per share is computed using the weighted-average number of shares and the effect of potentially dilutive securities outstanding during the period. For a period in which the Company reports a net loss, diluted net loss per share is similar to basic net loss per share because potentially dilutive common shares are not assumed to have been issued if their effect is antidilutive. See Note 18, </w:t>
      </w:r>
      <w:r>
        <w:rPr>
          <w:rFonts w:ascii="Times New Roman" w:cs="Times New Roman" w:eastAsia="Times New Roman" w:hAnsi="Times New Roman"/>
          <w:sz w:val="14"/>
          <w:szCs w:val="14"/>
          <w:i w:val="1"/>
          <w:iCs w:val="1"/>
          <w:color w:val="auto"/>
        </w:rPr>
        <w:t>Net Loss Per Share.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Stock-based compensation awards principally consist of restricted stock units (“RSUs”) or restricted stock awards (“RSAs”). RSUs entitle the holder to receive a number of shares of the Company’s Class A Common Stock, subject to service-based vesting conditions or, in some cases, other conditions. RSAs consist of shares of the Company’s common stock which are contingently returnable to the Company (i.e., subject to “clawback”) in the event that specified service-based vesting conditions or other conditions are not met. The Company establishes the fair value of each RSU or RSA based on the grant-date fair value of the underlying shares of its common stock. The Company recognizes stock-based compensation expense for RSUs and RSAs over the requisite service period, as applicable, or upon determination that the satisfaction of performance-based conditions is probable.</w:t>
      </w:r>
    </w:p>
    <w:p>
      <w:pPr>
        <w:spacing w:after="0" w:line="14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Stock-based compensation awards also include stock option awards. The Company estimates the fair value of stock option awards using the Black-Scholes-Merton (“Black-Scholes”) option-pricing model. The fair value of each stock option award is recognized as compensation expense on a straight-line basis over the requisite service period, which is typically four years. The Black-Scholes model considers several variables and assumptions in estimating the fair value of stock-based awards. These variables include:</w:t>
      </w:r>
    </w:p>
    <w:p>
      <w:pPr>
        <w:spacing w:after="0" w:line="135" w:lineRule="exact"/>
        <w:rPr>
          <w:sz w:val="20"/>
          <w:szCs w:val="20"/>
          <w:color w:val="auto"/>
        </w:rPr>
      </w:pPr>
    </w:p>
    <w:p>
      <w:pPr>
        <w:ind w:left="520" w:hanging="256"/>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fair value of the underlying common stock;</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risk-free interest rate;</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term;</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stock price volatility over the expected term; and,</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annual dividend yield.</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expected term represents the period over which the stock-based award is expected to remain outstanding and is estimated based on historical experience of similar awards, vesting schedules and expectations of future employee behavior. The risk-free interest rate is based on the yield available on U.S. Treasury zero-coupon issues similar in duration to the expected term of the stock-based award. Because there is a limited trading history for the Class A Common Stock, the Company estimates expected stock price volatility based on the historical price volatility of its common stock as well as the historical stock price volatility of similar publicly traded peer companies. The Company estimates the expected annual dividend yield will be zero because the Company does not currently expect to declare dividends on its common stock.</w:t>
      </w:r>
    </w:p>
    <w:p>
      <w:pPr>
        <w:spacing w:after="0" w:line="14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has elected to account for forfeitures as they occur and initially records stock-based compensation expense assuming all holders of RSUs, RSAs or stock option awards will complete the requisite service period. If the holder forfeits an award because they fail to complete the requisite service period, the Company reverses any previously recognized stock-based compensation expense in the period the award is forfeited.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Comprehensive Loss</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Comprehensive loss includes the Company’s net loss as well as other changes in stockholders’ equity that result from transactions and economic events other than those with stockholders. There were no differences between the Company’s net loss and comprehensive loss for the years ended September 30,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 xml:space="preserve">The Company accounts for revenue from contracts with customers in accordance with ASC Topic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(“ASC 606”). The Company derives its revenues primarily from product sales to equipment manufacturers. The Company recognizes product revenue when it satisfies performance obligations under the terms of its contracts and upon transfer of control when title transfers (either upon shipment to or receipt by the customer, as determined by the terms of the contract) net of accruals for estimated sales returns and allowances. Such sales returns and allowances were not material for the years ended September 30, 2025 and 2024.</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Company also derives revenue from engineering services. Contracts with customers generally contain a single distinct performance obligation, to provide research or design services for products based on the customer’s specifications. The Company recognizes services revenue over time as the services are delivered on an input basis, using costs incurred as the measure of progress.</w:t>
      </w:r>
    </w:p>
    <w:p>
      <w:pPr>
        <w:spacing w:after="0" w:line="3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 does not have material variable consideration, and the Company’s revenue arrangements do not contain significant financing components. Payment terms are principally net 30 days to net 45 days.</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The Company generally offers a limited warranty to customers covering a period of twelve months which obligates the Company to repair or replace defective products. The warranty is not sold separately and does not represent a separate performance obligation. Therefore, the Company accounts for such warranties under ASC Topic 460, </w:t>
      </w:r>
      <w:r>
        <w:rPr>
          <w:rFonts w:ascii="Times New Roman" w:cs="Times New Roman" w:eastAsia="Times New Roman" w:hAnsi="Times New Roman"/>
          <w:sz w:val="14"/>
          <w:szCs w:val="14"/>
          <w:i w:val="1"/>
          <w:iCs w:val="1"/>
          <w:color w:val="auto"/>
        </w:rPr>
        <w:t>Guarantees</w:t>
      </w:r>
      <w:r>
        <w:rPr>
          <w:rFonts w:ascii="Times New Roman" w:cs="Times New Roman" w:eastAsia="Times New Roman" w:hAnsi="Times New Roman"/>
          <w:sz w:val="14"/>
          <w:szCs w:val="14"/>
          <w:color w:val="auto"/>
        </w:rPr>
        <w:t>, and the estimated costs of warranty claims are accrued as cost of revenue in the period the related revenue is recorded. The Company accrues for warranty and indemnification issues if a loss is probable and can be reasonably estimated. Warranty and indemnification expenses have historically been insignificant.</w:t>
      </w:r>
    </w:p>
    <w:p>
      <w:pPr>
        <w:spacing w:after="0" w:line="14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 includes shipping and handling fees billed to customers as part of net revenue. The Company includes shipping and handling costs associated with outbound freight in cost of revenue. Sales and other taxes the Company collects, if any, are excluded from revenue.</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There were no significant contract assets recorded on the consolidated balance sheets as of September 30, 2025 or 2024. In some instances, the Company receives a partial payment of the sales price from the customer at the time an order is placed. Any such prepayments are recorded as a liability included in “Accrued expenses and other current liabilities” on the consolidated balance sheets and are recognized in net revenue when the Company satisfies the related performance obligations, typically as products are shipped. All incremental customer contract acquisition costs are expensed as incurred as the amortization period of the asset that the Company otherwise would have recognized is one year or less in duration.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1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 Cost of services revenue principally consists of employee compensation and benefits of employees engaged in the delivery of engineering services, along with any related materials, equipment, supplies or other costs to perform a contract.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Advertising Expense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costs include spending for items such as marketing and promotional items, trade shows, sponsorships, and other programs. The Company expenses advertising costs as incurred.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Advertising expenses were $31 and $91 for the years ended September 30, 2025 and 2024,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Research and development expenses consist of costs incurred to perform product design and development activities, including employee compensation and benefits (including stock-based compensation), outside services, design tools, supplies, facility costs, depreciation and amortization of acquired developed technology. The Company expenses all research and development costs as incurred.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4" w:right="31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Selling, general and administrative expenses consist of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accounts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ongoing tax planning, and forecasts of future taxable income on a jurisdiction-by-jurisdiction basis. Based on the level of historical losses, the Company has established a valuation allowance to reduce its net deferred tax assets to the amount that is more likely than not to be realized.</w:t>
      </w:r>
    </w:p>
    <w:p>
      <w:pPr>
        <w:spacing w:after="0" w:line="1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recognizes liabilities for uncertain tax positions based on a two-step process regarding recognition and measurement. The Company recognizes a tax benefit only if it is more likely than not the tax position will be sustained on examination by the local taxing authorities based on the technical merits of the position. Then the Company measures the tax benefits recognized in the financial statements from such positions based on the largest amount that is greater than 50% likely to be realized upon ultimate settlement with the related tax authority. Subsequent changes in recognition or measurement are reflected in the period in which the change in judgment occurs based on new information not previously available.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Pronouncements Recently Adopted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is an “emerging growth company,” as defined in the Securities Act. Under the Jumpstart Our Business Startups Act of 2012, an emerging growth company has the option to adopt new or revised accounting guidance either (i) within the same periods as otherwise applicable to public business entities, or (ii) within the same time periods as non-public business entities, including early adoption when permissible. With the exception of accounting guidance the Company elected to early adopt, when permissible, the Company has elected to adopt new or revised accounting guidance within the same time periods as non-public business entities.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(“ASU 2023-07”). ASU 2023-07 expands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The disclosures required under ASU 2023-07 are also required for public entities with a single reportable segment. The Company adopted ASU 2023-07 for its fiscal year ended September 30, 2025, with no material impact on its financial position or results of operations. See Note 20,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Issued Accounting Pronouncements Not Yet Adopted</w:t>
      </w:r>
    </w:p>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(“ASU 2023-09”). ASU 2023-09 requires disaggregated information about a reporting entity’s effective tax rate reconciliation as well as information on income taxes paid. The ASU is effective for the Company’s fiscal year beginning October 1, 2025. The guidance will be applied on a prospective basis with the option to apply the standard retrospectively. Early adoption is permitted. The Company does not expect adoption of ASU 2023-09 will have a material impact on its financial position or results of operations.</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w:t>
      </w:r>
      <w:r>
        <w:rPr>
          <w:rFonts w:ascii="Times New Roman" w:cs="Times New Roman" w:eastAsia="Times New Roman" w:hAnsi="Times New Roman"/>
          <w:sz w:val="14"/>
          <w:szCs w:val="14"/>
          <w:color w:val="auto"/>
        </w:rPr>
        <w:t xml:space="preserve"> (“ASU 2024-03”). ASU 2024-03 requires disclosure in the notes to the financial statements of specified information about certain costs and expenses. The ASU is effective for the Company’s fiscal year beginning October 1, 2027, and for interim periods within the Company’s fiscal year beginning October 1, 2028, with early adoption permitted. The Company is currently evaluating the ASU to determine the impact it will have on the Company’s financial statements and related disclosures.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Reverse Recapitalization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As discussed in Note 1, </w:t>
      </w:r>
      <w:r>
        <w:rPr>
          <w:rFonts w:ascii="Times New Roman" w:cs="Times New Roman" w:eastAsia="Times New Roman" w:hAnsi="Times New Roman"/>
          <w:sz w:val="14"/>
          <w:szCs w:val="14"/>
          <w:i w:val="1"/>
          <w:iCs w:val="1"/>
          <w:color w:val="auto"/>
        </w:rPr>
        <w:t>Company Information</w:t>
      </w:r>
      <w:r>
        <w:rPr>
          <w:rFonts w:ascii="Times New Roman" w:cs="Times New Roman" w:eastAsia="Times New Roman" w:hAnsi="Times New Roman"/>
          <w:sz w:val="14"/>
          <w:szCs w:val="14"/>
          <w:color w:val="auto"/>
        </w:rPr>
        <w:t>, the Closing of the Merger occurred on December 21, 2023. In the Merger, as provided for in the Business Combination Agreement:</w:t>
      </w:r>
    </w:p>
    <w:p>
      <w:pPr>
        <w:spacing w:after="0" w:line="185" w:lineRule="exact"/>
        <w:rPr>
          <w:sz w:val="20"/>
          <w:szCs w:val="20"/>
          <w:color w:val="auto"/>
        </w:rPr>
      </w:pPr>
    </w:p>
    <w:p>
      <w:pPr>
        <w:ind w:left="520" w:hanging="256"/>
        <w:spacing w:after="0" w:line="266" w:lineRule="auto"/>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Legacy Mobix’s 1,813,925 issued and outstanding shares of common stock were cancelled and converted into the same number of shares of the Company’s Class A Common Stock;</w:t>
      </w:r>
    </w:p>
    <w:p>
      <w:pPr>
        <w:spacing w:after="0" w:line="338" w:lineRule="exact"/>
        <w:rPr>
          <w:rFonts w:ascii="Times New Roman" w:cs="Times New Roman" w:eastAsia="Times New Roman" w:hAnsi="Times New Roman"/>
          <w:sz w:val="14"/>
          <w:szCs w:val="14"/>
          <w:color w:val="auto"/>
        </w:rPr>
      </w:pPr>
    </w:p>
    <w:p>
      <w:pPr>
        <w:ind w:left="520" w:hanging="256"/>
        <w:spacing w:after="0" w:line="293" w:lineRule="auto"/>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Legacy Mobix’s Founders Redeemable Convertible Preferred Stock and Series A Redeemable Convertible Preferred Stock, totaling 225,490 shares, was converted into the same number of shares of the Company’s Class B Common Stock;</w:t>
      </w:r>
    </w:p>
    <w:p>
      <w:pPr>
        <w:spacing w:after="0" w:line="123" w:lineRule="exact"/>
        <w:rPr>
          <w:rFonts w:ascii="Times New Roman" w:cs="Times New Roman" w:eastAsia="Times New Roman" w:hAnsi="Times New Roman"/>
          <w:sz w:val="14"/>
          <w:szCs w:val="14"/>
          <w:color w:val="auto"/>
        </w:rPr>
      </w:pPr>
    </w:p>
    <w:p>
      <w:pPr>
        <w:ind w:left="520" w:hanging="256"/>
        <w:spacing w:after="0" w:line="293" w:lineRule="auto"/>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Legacy Mobix’s convertible notes were converted into shares of Legacy Mobix common stock immediately prior to Closing and pursuant to their terms, totaling 3,004 shares, which were then cancelled and converted into the same number of shares of the Company’s Class A Common Stock;</w:t>
      </w:r>
    </w:p>
    <w:p>
      <w:pPr>
        <w:spacing w:after="0" w:line="12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Legacy Mobix’s simple agreements for future equity (“SAFEs”) were converted into 15,095 shares of the Company’s Class A Common Stock;</w:t>
      </w:r>
    </w:p>
    <w:p>
      <w:pPr>
        <w:spacing w:after="0" w:line="183" w:lineRule="exact"/>
        <w:rPr>
          <w:rFonts w:ascii="Times New Roman" w:cs="Times New Roman" w:eastAsia="Times New Roman" w:hAnsi="Times New Roman"/>
          <w:sz w:val="14"/>
          <w:szCs w:val="14"/>
          <w:color w:val="auto"/>
        </w:rPr>
      </w:pPr>
    </w:p>
    <w:p>
      <w:pPr>
        <w:ind w:left="520" w:hanging="256"/>
        <w:spacing w:after="0" w:line="293" w:lineRule="auto"/>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Legacy Mobix’s stock options and warrants were assumed by the Company and converted into the same number of stock options or warrants to purchase shares of the Company’s Class A Common Stock, with no change to their exercise prices, vesting conditions or other terms; and</w:t>
      </w:r>
    </w:p>
    <w:p>
      <w:pPr>
        <w:spacing w:after="0" w:line="12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Legacy Mobix’s RSUs were assumed by the Company and converted into RSUs covering the same number of shares of the Company’s Class A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other related events that occurred in connection with the Closing include the following:</w:t>
      </w:r>
    </w:p>
    <w:p>
      <w:pPr>
        <w:spacing w:after="0" w:line="183" w:lineRule="exact"/>
        <w:rPr>
          <w:sz w:val="20"/>
          <w:szCs w:val="20"/>
          <w:color w:val="auto"/>
        </w:rPr>
      </w:pPr>
    </w:p>
    <w:p>
      <w:pPr>
        <w:ind w:left="520" w:hanging="256"/>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the PIPE Subscription Agreements, as described below;</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the Sponsor PIPE Subscription Agreement, Sponsor Warrant and Sponsor Letter Agreement, as described below;</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a non-redemption agreement with a stockholder, as described below;</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an amendment to its Business Combination Marketing Agreement, as described below;</w:t>
      </w:r>
    </w:p>
    <w:p>
      <w:pPr>
        <w:spacing w:after="0" w:line="183" w:lineRule="exact"/>
        <w:rPr>
          <w:rFonts w:ascii="Times New Roman" w:cs="Times New Roman" w:eastAsia="Times New Roman" w:hAnsi="Times New Roman"/>
          <w:sz w:val="14"/>
          <w:szCs w:val="14"/>
          <w:color w:val="auto"/>
        </w:rPr>
      </w:pPr>
    </w:p>
    <w:p>
      <w:pPr>
        <w:ind w:left="520" w:hanging="256"/>
        <w:spacing w:after="0" w:line="293" w:lineRule="auto"/>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assumed the 6,000,000 public warrants (“Public Warrants”) and 3,400,000 private placement warrants (“Private Warrants”) originally issued by Chavant in 2021 in connection with its initial public offering, as described in Note 15, </w:t>
      </w: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w:t>
      </w:r>
    </w:p>
    <w:p>
      <w:pPr>
        <w:spacing w:after="0" w:line="12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adopted the 2023 Employee Stock Purchase Plan and the 2023 Equity Incentive Plan, as described in Note 16,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w:t>
      </w:r>
    </w:p>
    <w:p>
      <w:pPr>
        <w:spacing w:after="0" w:line="185"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adopted an amended and restated certificate of incorporation and amended and restated bylaws; and</w:t>
      </w:r>
    </w:p>
    <w:p>
      <w:pPr>
        <w:spacing w:after="0" w:line="183"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indemnification agreements with each of its directors and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PIPE Subscription Agreements</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connection with the Merger, Chavant entered into the PIPE Subscription Agreements with certain accredited investors and pursuant to which the investors agreed to purchase an aggregate of 197,500 shares of Class A Common Stock of Chavant at a price of $100.00 per share for an aggregate amount of $19,750 in cash. Subsequent to the Closing, the number of shares purchased by the PIPE investors was adjusted through the issuance of additional shares of Class A Common Stock. See “</w:t>
      </w:r>
      <w:r>
        <w:rPr>
          <w:rFonts w:ascii="Times New Roman" w:cs="Times New Roman" w:eastAsia="Times New Roman" w:hAnsi="Times New Roman"/>
          <w:sz w:val="14"/>
          <w:szCs w:val="14"/>
          <w:i w:val="1"/>
          <w:iCs w:val="1"/>
          <w:color w:val="auto"/>
        </w:rPr>
        <w:t>Make-Whole Shares</w:t>
      </w:r>
      <w:r>
        <w:rPr>
          <w:rFonts w:ascii="Times New Roman" w:cs="Times New Roman" w:eastAsia="Times New Roman" w:hAnsi="Times New Roman"/>
          <w:sz w:val="14"/>
          <w:szCs w:val="14"/>
          <w:color w:val="auto"/>
        </w:rPr>
        <w:t>,” below.</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PIPE investors also received warrants to purchase 195,000 shares of Class A Common Stock at an exercise price of $0.10 per share, of which warrants to purchase 20,000 shares are immediately exercisable and warrants to purchase 175,000 shares became exercisable upon approval by the Company’s stockholders, which was obtained on January 3, 2025. During the year ended September 30, 2025, warrants to purchase 150,000 shares of Class A Common Stock were exercised, for net proceeds to the Company of $15.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Sponsor PIPE Subscription Agreements, Sponsor Warrant and Sponsor Letter Agreement</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On December 19, 2023, Chavant entered into the Sponsor PIPE Subscription Agreement with the Sponsor pursuant to which the Sponsor agreed to purchase, in a private placement that closed substantially concurrently with the Closing, 19,973 shares of Class A Common Stock at a price of $100.00 per share. The aggregate purchase price of $1,997 was paid through the forgiveness of certain obligations of Chavant. Subsequent to the Closing, the number of shares purchased by the Sponsor was adjusted through the issuance of additional shares of Class A Common Stock. See “</w:t>
      </w:r>
      <w:r>
        <w:rPr>
          <w:rFonts w:ascii="Times New Roman" w:cs="Times New Roman" w:eastAsia="Times New Roman" w:hAnsi="Times New Roman"/>
          <w:sz w:val="14"/>
          <w:szCs w:val="14"/>
          <w:i w:val="1"/>
          <w:iCs w:val="1"/>
          <w:color w:val="auto"/>
        </w:rPr>
        <w:t>Make-Whole Shares</w:t>
      </w:r>
      <w:r>
        <w:rPr>
          <w:rFonts w:ascii="Times New Roman" w:cs="Times New Roman" w:eastAsia="Times New Roman" w:hAnsi="Times New Roman"/>
          <w:sz w:val="14"/>
          <w:szCs w:val="14"/>
          <w:color w:val="auto"/>
        </w:rPr>
        <w:t>,” below.</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connection with the execution of the Sponsor PIPE Subscription Agreement, Legacy Mobix issued to the Sponsor a warrant to purchase 27,245 shares of Legacy Mobix common stock at an exercise price of $0.10 per share, exercisable upon the closing of the Sponsor PIPE Subscription Agreement (the “Sponsor Warrant”). The Sponsor Warrant was exercised at the closing of the Sponsor PIPE Subscription Agreement and, following net settlement into 27,218 shares of Legacy Mobix common stock, converted into 27,218 shares of Class A Common Stock of the Company in connection with the Closing.</w:t>
      </w:r>
    </w:p>
    <w:p>
      <w:pPr>
        <w:spacing w:after="0" w:line="14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On December 20, 2023, Chavant also entered into a Sponsor Letter Agreement with the Sponsor pursuant to which, as consideration for the 19,973 shares issued pursuant to the Sponsor PIPE Subscription Agreement described above, the Sponsor agreed to forgive approximately $1,997 of aggregate outstanding obligations of Chavant. In addition, the Sponsor agreed to forfeit 65,863 Founder Shares and 40,000 Private Warrants that it held, in each case upon the Closing.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Non-Redemption Agreement</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On December 20, 2023, Chavant and Mobix Labs entered into a non-redemption agreement with a stockholder of Chavant, pursuant to which the stockholder agreed to withdraw its redemption of 7,370 ordinary shares of Chavant (“Ordinary Shares”) prior to the Merger. In consideration therefor, Mobix Labs issued the stockholder a warrant to purchase 20,269 shares of Legacy Mobix common stock at an exercise price of $0.10 per share, exercisable upon the Closing. The warrant was exercised at the Closing and, following net settlement into 20,248 shares of Legacy Mobix common stock, converted into 20,248 shares of Class A Common Stock of the Company in connection with the Closing.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Amendment to Business Combination Marketing Agreement</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On December 21, 2023, Chavant entered into an amendment to the Business Combination Marketing Agreement, dated as of July 19, 2021 between Chavant and certain advisors wherein the parties agreed to resolve their differences with respect to marketing fees contemplated by the agreement and the advisors agreed to receive, in lieu of any cash payment of fees or reimbursement of expenses, an aggregate of 28,000 shares of Class A Common Stock. Subsequent to the Closing, the number of shares the advisors received was adjusted through the issuance of additional shares of Class A Common Stock. See “</w:t>
      </w:r>
      <w:r>
        <w:rPr>
          <w:rFonts w:ascii="Times New Roman" w:cs="Times New Roman" w:eastAsia="Times New Roman" w:hAnsi="Times New Roman"/>
          <w:sz w:val="14"/>
          <w:szCs w:val="14"/>
          <w:i w:val="1"/>
          <w:iCs w:val="1"/>
          <w:color w:val="auto"/>
        </w:rPr>
        <w:t>Make-Whole Shares</w:t>
      </w:r>
      <w:r>
        <w:rPr>
          <w:rFonts w:ascii="Times New Roman" w:cs="Times New Roman" w:eastAsia="Times New Roman" w:hAnsi="Times New Roman"/>
          <w:sz w:val="14"/>
          <w:szCs w:val="14"/>
          <w:color w:val="auto"/>
        </w:rPr>
        <w:t>,” below.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Earnout Shares</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addition to the consideration paid at Closing, certain Legacy Mobix stockholders and certain holders of Legacy Mobix stock options (the “Earnout Recipients”) will be entitled to receive an additional aggregate 350,000 shares of Class A Common Stock issuable as earnout shares (the “Earnout Shares”) based on the achievement of trading price targets following the Closing and subject to the terms provided in the Business Combination Agreement. The Earnout Shares have a seven-year “Earnout Period,” commencing on the date that is the one year anniversary of the Closing, pursuant to which up to 175,000 shares of Class A Common Stock will be distributed to the Earnout Recipients if the volume-weighted average price (“VWAP”) of the Class A Common Stock exceeds $125.00 for any twenty trading days within a period of thirty consecutive trading days during the Earnout Period and an additional 175,000 shares of Class A Common Stock will be distributed to the Earnout Recipients if the VWAP of the Class A Common Stock exceeds $150.00 for any twenty trading days within a period of thirty consecutive trading days during the Earnout Period.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Earnout Shares are accounted for as liability-classified instruments because the events that determine the number of Earnout Shares to which the Earnout Recipients will be entitled include events that are not solely indexed to the Company’s common stock. At the time of Closing, the Company estimated the aggregate fair value of its liability for the Earnout Shares using a Monte Carlo simulation model and recorded a liability of $33,559. As of September 30, 2025 and 2024, none of the conditions for the issuance of any Earnout Shares had been achieved and the Company adjusted the carrying amount of the liability to its estimated fair value of $1,240 and $1,680, respectively. As a result of decreases in the fair value of the liability, which were primarily the result of decreases in the price of the Company’s Class A Common Stock subsequent to the Closing, the Company recognized non-cash gains of $440 and $31,879 for the years ended September 30, 2025 and 2024, respectively, which are included in “Change in fair value of earnout liability” in the consolidated statements of operations and comprehensive loss.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Make-Whole Shares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Pursuant to the PIPE Subscription Agreements, the Sponsor PIPE Subscription Agreement and the Amendment to Business Combination Marketing Agreement described above, Chavant agreed to issue additional shares of its Class A Common Stock (the “Make-Whole Shares”) to the PIPE Investors, the Sponsor and certain advisors with respect to 245,473 shares of the Company’s Class A Common Stock in the event that the VWAP per share of the Class A Common Stock during a specified period (the “Adjustment Period VWAP”) is less than $100.00 per share. In such case, the PIPE Investors were entitled to receive a number of Make-Whole Shares equal to the number of shares of Class A Common Stock issued to the PIPE Investor multiplied by a fraction, the numerator of which is $100.00 minus the Adjustment Period VWAP and the denominator of which is the Adjustment Period VWAP. In the event that the Adjustment Period VWAP is less than $70.00, the Adjustment Period VWAP was deemed to be $70.00. The adjustment period ended on August 30, 2024. The Company issued 105,202 shares of its Class A Common Stock to the PIPE Investors, the Sponsor and certain advisors in settlement of the liability for the Make-Whole Shares.</w:t>
      </w:r>
    </w:p>
    <w:p>
      <w:pPr>
        <w:spacing w:after="0" w:line="1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Make-Whole Shares were accounted for as liability-classified instruments because the events that determine the number of Make-Whole Shares issuable include events that are not solely indexed to the Company’s common stock. At the time of Closing, the Company estimated the aggregate fair value of its liability for the Make-Whole Shares using a Monte Carlo simulation model and recorded a liability of $2,071. The fair value of the 105,202 shares of Class A Common Stock issued in settlement of the liability for the Make-Whole Shares was $1,241. As a result of the decrease in the fair value of the liability, the Company recorded a non-cash gain of $830 for the year ended September 30, 2024, which is included in “Change in fair value of PIPE make-whole liability” in the consolidated statements of operations and comprehensive loss.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17,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for additional information on the Company’s measurements with respect to the financial instruments issued in connection with the foregoing agreements.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Legacy Mobix incurred $6,363 of transaction costs in connection with the Merger, which was determined to be a capital-raising transaction for Legacy Mobix. At the time of the Closing, the Company allocated this amount between the equity-classified instruments and liability-classified instruments, based on their relative fair values, and recorded the $2,354 of costs associated with equity-classified instruments as a reduction of additional paid-in capital and charged the remaining $4,009 of costs associated with liability-classified instruments to expense. The Company also recognized a liability for unpaid transaction costs of Chavant totaling $3,090, which the Company recorded as a reduction of the proceeds of the Merger at the time of the Closing.</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reconcile elements of the Merger to the Company’s consolidated financial statements, and should be read in conjunction with the footnotes referenced above: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60" w:type="dxa"/>
            <w:vAlign w:val="bottom"/>
            <w:gridSpan w:val="3"/>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Chavant public shares, net of redemptions</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Chavant founder shares, net of shares forfeited</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134,137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PIPE investors’ shares</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Settlement of PIPE warrant</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Sponsor PIPE subscription</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Settlement of Sponsor Warrant</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Settlement of warrant to non-redeeming shareholder</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Amendment to Business Combination Marketing Agreement</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9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Chavant shares outstanding immediately prior to the Merger</w:t>
            </w:r>
          </w:p>
        </w:tc>
        <w:tc>
          <w:tcPr>
            <w:tcW w:w="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458,156</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Legacy Mobix rollover shares</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1,813,925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Conversion of Legacy Mobix convertible notes</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of Legacy Mobix SAFEs</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Total number of Class A common shares issued in the Merger</w:t>
            </w:r>
          </w:p>
        </w:tc>
        <w:tc>
          <w:tcPr>
            <w:tcW w:w="2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2,290,180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Closing proceeds:</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Chavant trust fund</w:t>
            </w:r>
          </w:p>
        </w:tc>
        <w:tc>
          <w:tcPr>
            <w:tcW w:w="50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1"/>
                <w:szCs w:val="11"/>
                <w:color w:val="auto"/>
                <w:w w:val="71"/>
              </w:rPr>
              <w:t>$</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PIPE investment</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19,750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Closing disbursements:</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Legacy Mobix Merger-related transaction costs</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(3,747)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Chavant Merger-related transaction costs</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(2,219)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9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cash proceeds from the Merger at Closing</w:t>
            </w:r>
          </w:p>
        </w:tc>
        <w:tc>
          <w:tcPr>
            <w:tcW w:w="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15,048</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Legacy Mobix Merger-related transaction costs paid prior to closing</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cash proceeds</w:t>
            </w:r>
          </w:p>
        </w:tc>
        <w:tc>
          <w:tcPr>
            <w:tcW w:w="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Non-cash activity:</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Conversion of Legacy Mobix convertible notes to Class A Common Stock</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Conversion of Legacy Mobix SAFEs to Class A Common Stock</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Conversion of Legacy Mobix redeemable convertible preferred stock to Class B Common Stock</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Unpaid Merger-related transaction costs assumed from Chavant</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(871)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Unpaid Merger-related transaction costs of Legacy Mobix</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Merger-related transaction costs expensed</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4"/>
                <w:szCs w:val="14"/>
                <w:color w:val="auto"/>
              </w:rPr>
              <w:t>Liability-classified instruments at closing:</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Fair value of earnout liability</w:t>
            </w:r>
          </w:p>
        </w:tc>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(33,559)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Fair value of PIPE make-whole liability</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Fair value of Private Warrants</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equity impact of the Merger</w:t>
            </w:r>
          </w:p>
        </w:tc>
        <w:tc>
          <w:tcPr>
            <w:tcW w:w="20" w:type="dxa"/>
            <w:vAlign w:val="bottom"/>
          </w:tcPr>
          <w:p>
            <w:pPr>
              <w:spacing w:after="0"/>
              <w:rPr>
                <w:sz w:val="15"/>
                <w:szCs w:val="15"/>
                <w:color w:val="auto"/>
              </w:rPr>
            </w:pPr>
          </w:p>
        </w:tc>
        <w:tc>
          <w:tcPr>
            <w:tcW w:w="48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5"/>
                <w:szCs w:val="5"/>
                <w:color w:val="auto"/>
                <w:w w:val="7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(16,182</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Subsequent to the Closing, the Company paid $982 of the Merger-related transaction costs and negotiated a $99 reduction of the unpaid transaction costs.</w:t>
      </w:r>
    </w:p>
    <w:p>
      <w:pPr>
        <w:spacing w:after="0" w:line="1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Acquisitions</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acquired EMI Solutions, Inc. (“EMI Solutions”) in December 2023 and RaGE Systems, Inc. (“RaGE Systems”) in May 2024. The Company accounted for each of the acquisitions as a business combination. The following table summarizes the amount of the aggregate purchase consideration and the allocation to the tangible and identifiable intangible assets acquired and liabilities assumed based on their estimated fair values.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EMI Solutions</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RaGE Systems</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7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consideration:</w:t>
            </w:r>
          </w:p>
        </w:tc>
        <w:tc>
          <w:tcPr>
            <w:tcW w:w="2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Contingently redeemable common stock</w:t>
            </w:r>
          </w:p>
        </w:tc>
        <w:tc>
          <w:tcPr>
            <w:tcW w:w="3720" w:type="dxa"/>
            <w:vAlign w:val="bottom"/>
            <w:gridSpan w:val="2"/>
          </w:tcPr>
          <w:p>
            <w:pPr>
              <w:jc w:val="right"/>
              <w:ind w:right="13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8,856</w:t>
            </w:r>
          </w:p>
        </w:tc>
        <w:tc>
          <w:tcPr>
            <w:tcW w:w="340" w:type="dxa"/>
            <w:vAlign w:val="bottom"/>
          </w:tcPr>
          <w:p>
            <w:pPr>
              <w:spacing w:after="0"/>
              <w:rPr>
                <w:sz w:val="14"/>
                <w:szCs w:val="14"/>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A Common Stock</w:t>
            </w:r>
          </w:p>
        </w:tc>
        <w:tc>
          <w:tcPr>
            <w:tcW w:w="2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7,682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consideration (at present value)</w:t>
            </w:r>
          </w:p>
        </w:tc>
        <w:tc>
          <w:tcPr>
            <w:tcW w:w="2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1,836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Borders>
              <w:top w:val="single" w:sz="8" w:color="CCEEFF"/>
              <w:bottom w:val="single" w:sz="8" w:color="CCEEFF"/>
            </w:tcBorders>
            <w:shd w:val="clear" w:color="auto" w:fill="CCEEFF"/>
          </w:tcPr>
          <w:p>
            <w:pPr>
              <w:spacing w:after="0"/>
              <w:rPr>
                <w:sz w:val="15"/>
                <w:szCs w:val="15"/>
                <w:color w:val="auto"/>
              </w:rPr>
            </w:pPr>
          </w:p>
        </w:tc>
        <w:tc>
          <w:tcPr>
            <w:tcW w:w="226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ind w:right="13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10,897</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Allocation:</w:t>
            </w:r>
          </w:p>
        </w:tc>
        <w:tc>
          <w:tcPr>
            <w:tcW w:w="2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740" w:type="dxa"/>
            <w:vAlign w:val="bottom"/>
            <w:gridSpan w:val="2"/>
            <w:vMerge w:val="continue"/>
          </w:tcPr>
          <w:p>
            <w:pPr>
              <w:spacing w:after="0"/>
              <w:rPr>
                <w:sz w:val="12"/>
                <w:szCs w:val="12"/>
                <w:color w:val="auto"/>
              </w:rPr>
            </w:pPr>
          </w:p>
        </w:tc>
        <w:tc>
          <w:tcPr>
            <w:tcW w:w="2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w:t>
            </w:r>
          </w:p>
        </w:tc>
        <w:tc>
          <w:tcPr>
            <w:tcW w:w="3720" w:type="dxa"/>
            <w:vAlign w:val="bottom"/>
            <w:gridSpan w:val="2"/>
            <w:shd w:val="clear" w:color="auto" w:fill="CCEEFF"/>
          </w:tcPr>
          <w:p>
            <w:pPr>
              <w:jc w:val="right"/>
              <w:ind w:right="13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w:t>
            </w:r>
          </w:p>
        </w:tc>
        <w:tc>
          <w:tcPr>
            <w:tcW w:w="2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387</w:t>
            </w:r>
          </w:p>
        </w:tc>
        <w:tc>
          <w:tcPr>
            <w:tcW w:w="30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Inventory</w:t>
            </w:r>
          </w:p>
        </w:tc>
        <w:tc>
          <w:tcPr>
            <w:tcW w:w="2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155</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current assets</w:t>
            </w:r>
          </w:p>
        </w:tc>
        <w:tc>
          <w:tcPr>
            <w:tcW w:w="2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7</w:t>
            </w:r>
          </w:p>
        </w:tc>
        <w:tc>
          <w:tcPr>
            <w:tcW w:w="30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and equipment</w:t>
            </w:r>
          </w:p>
        </w:tc>
        <w:tc>
          <w:tcPr>
            <w:tcW w:w="2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107</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asset—customer relationships</w:t>
            </w:r>
          </w:p>
        </w:tc>
        <w:tc>
          <w:tcPr>
            <w:tcW w:w="2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Intangible asset—developed technology</w:t>
            </w:r>
          </w:p>
        </w:tc>
        <w:tc>
          <w:tcPr>
            <w:tcW w:w="2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asset—backlog</w:t>
            </w:r>
          </w:p>
        </w:tc>
        <w:tc>
          <w:tcPr>
            <w:tcW w:w="2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300</w:t>
            </w:r>
          </w:p>
        </w:tc>
        <w:tc>
          <w:tcPr>
            <w:tcW w:w="30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Intangible asset—trade name</w:t>
            </w:r>
          </w:p>
        </w:tc>
        <w:tc>
          <w:tcPr>
            <w:tcW w:w="2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100</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Goodwill</w:t>
            </w:r>
          </w:p>
        </w:tc>
        <w:tc>
          <w:tcPr>
            <w:tcW w:w="2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6,841</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 right-of-use asset</w:t>
            </w:r>
          </w:p>
        </w:tc>
        <w:tc>
          <w:tcPr>
            <w:tcW w:w="2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2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2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(228)</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w:t>
            </w:r>
          </w:p>
        </w:tc>
        <w:tc>
          <w:tcPr>
            <w:tcW w:w="2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(263)</w:t>
            </w:r>
          </w:p>
        </w:tc>
        <w:tc>
          <w:tcPr>
            <w:tcW w:w="300" w:type="dxa"/>
            <w:vAlign w:val="bottom"/>
          </w:tcPr>
          <w:p>
            <w:pPr>
              <w:spacing w:after="0"/>
              <w:rPr>
                <w:sz w:val="14"/>
                <w:szCs w:val="14"/>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2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tax liability</w:t>
            </w:r>
          </w:p>
        </w:tc>
        <w:tc>
          <w:tcPr>
            <w:tcW w:w="2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(1,084)</w:t>
            </w:r>
          </w:p>
        </w:tc>
        <w:tc>
          <w:tcPr>
            <w:tcW w:w="300" w:type="dxa"/>
            <w:vAlign w:val="bottom"/>
          </w:tcPr>
          <w:p>
            <w:pPr>
              <w:spacing w:after="0"/>
              <w:rPr>
                <w:sz w:val="15"/>
                <w:szCs w:val="15"/>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(1,582)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Borders>
              <w:top w:val="single" w:sz="8" w:color="CCEEFF"/>
              <w:bottom w:val="single" w:sz="8" w:color="CCEEFF"/>
            </w:tcBorders>
            <w:shd w:val="clear" w:color="auto" w:fill="CCEEFF"/>
          </w:tcPr>
          <w:p>
            <w:pPr>
              <w:spacing w:after="0"/>
              <w:rPr>
                <w:sz w:val="15"/>
                <w:szCs w:val="15"/>
                <w:color w:val="auto"/>
              </w:rPr>
            </w:pPr>
          </w:p>
        </w:tc>
        <w:tc>
          <w:tcPr>
            <w:tcW w:w="226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ind w:right="13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10,897</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EMI Solutions, Inc.</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On December 18, 2023, the Company completed the acquisition of EMI Solutions when the Company acquired all of the issued and outstanding common shares of EMI Solutions. EMI Solutions is a manufacturer of electromagnetic interference filtering products for military and aerospace applications. Consideration for the acquisition consisted of 96,491 shares of the Company’s common stock with an estimated fair value of $8,856 and $2,200 in cash. Of the cash portion of the consideration, the Company paid $155 at the time of the consummation of the acquisition and through September 30, 2025 the Company paid an additional $1,522. The remaining $523 cash portion of the consideration is currently payable.</w:t>
      </w:r>
    </w:p>
    <w:p>
      <w:pPr>
        <w:spacing w:after="0" w:line="1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merger agreement with EMI Solutions provided that in the event that Legacy Mobix did not complete an initial public offering (including the Merger) within twenty-four months following the completion of the acquisition of EMI Solutions, the sellers could require the Company to pay all unpaid cash consideration and provided the sellers a “put right” wherein the sellers could require that the Company repurchase the 96,491 shares of common stock for a cash amount equal to $68.40 per share. The Company evaluated the terms of the related agreement and concluded that the shares of common stock issued as consideration were contingently redeemable common stock, and required recognition as temporary equity, because the events that determine whether the Company will be required to repurchase the 96,491 shares of its common stock for cash were not within the Company’s control. At the time of completion of the acquisition, the Company estimated the fair value of the contingently redeemable common stock at $8,856, based upon the fair value of the Legacy Mobix common stock, adjusted to include the fair value of the put right. The Company estimated the fair value of the put right using the Black-Scholes option pricing model with the following assumptions: expected volatility of 55.0%; no expected dividend yield; risk-free interest rate of 4.5%; and a contractual term of two years. The Company included this amount as part of the value of the purchase consideration. After the Closing of the Merger with Chavant on December 21, 2023, the common stock was no longer contingently redeemable, and the Company reclassified the value of the contingently redeemable common stock to permanent equity at its carrying value of $8,856, with no gain or loss recognized.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 estimated the useful lives of the customer relationships, trade name and backlog intangible assets are fifteen years, two years and one year, respectively. The goodwill is primarily attributed to expected synergies for the combined operations and is not deductible for income tax purposes.</w:t>
      </w:r>
    </w:p>
    <w:p>
      <w:pPr>
        <w:spacing w:after="0" w:line="1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operating results of EMI Solutions are included in the Company’s consolidated financial statements for periods subsequent to the acquisition date. The amounts of net revenue and net loss of EMI Solutions included in the Company’s consolidated statements of operations and comprehensive loss were $3,937 and $(312), respectively, for the year ended September 30, 2025 and $2,774 and $(887), respectively, for the year ended September 30,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RaGE Systems, Inc.</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On May 21, 2024, the Company completed the acquisition of RaGE Systems when the Company acquired all of the issued and outstanding common shares of RaGE Systems pursuant to a business combination agreement (the “RaGE Business Combination Agreement”). RaGE Systems specializes in developing products for 5G communications, mmWave imaging, and software defined radio targeting the commercial, industrial, and defense and aerospace sectors. Aggregate consideration for the acquisition was $9,518, consisting of 321,404 shares of the Company’s Class A Common Stock having a fair value of $7,682 and $2,000 in cash, of which the Company paid $200 during the year ended September 30, 2024 and as of September 30, 2025 the remaining $1,800 is currently payable. The Company also entered into employment agreements with each of the RaGE stockholders.</w:t>
      </w:r>
    </w:p>
    <w:p>
      <w:pPr>
        <w:spacing w:after="0" w:line="14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 estimated the useful lives of the customer relationships, developed technology and trade name intangible assets are twelve years, seven years, and two and one-half years, respectively. The goodwill is primarily attributed to expected synergies for the combined operations and is not deductible for income tax purposes.</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Pursuant to the RaGE Business Combination Agreement, the RaGE stockholders are entitled to receive possible earnout payments of up to $8,000, payable in a combination of cash and shares of the Company’s Class A Common Stock, based upon both (i) the attainment of certain financial targets measured over calendar years 2024 and 2025 and (ii) continued employment with the Company (the “RaGE Earnout”). Because the RaGE Earnout arrangement is linked to continued employment with the Company in the post-acquisition period, the Company determined that the related cost must be recognized as an operating expense in the post-acquisition period, and no portion was accounted for as part of the purchase consideration. As of September 30, 2025 and 2024, the Company estimated the amount of the payments it expects to make under the RaGE Earnout, based upon its expectation of the level of achievement of the financial targets over the measurement periods and for the years ended September 30, 2025 and 2024, the Company recognized expense of $767 and $2,985, respectively, which is included in selling, general and administrative expenses in the consolidated statements of operations and comprehensive loss. During the year ended September 30, 2025, the Company issued the RaGE stockholders 64,280 shares of the Company’s Class A Common Stock in partial settlement of its liability under the RaGE Earnout.</w:t>
      </w:r>
    </w:p>
    <w:p>
      <w:pPr>
        <w:spacing w:after="0" w:line="14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operating results of RaGE Systems are included in the Company’s consolidated financial statements for periods subsequent to the acquisition date. The amounts of net revenue and net income of RaGE Systems included in the Company’s consolidated statements of operations and comprehensive loss were $5,836 and $586, respectively, for the year ended September 30, 2025 and $2,739 and $201, respectively, for the year ended September 30, 2024.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 forma information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The following table shows unaudited pro forma net revenue and net loss of the Company, as if the acquisitions of EMI Solutions and RaGE Systems had each been completed as of October 1, 2022. The unaudited pro forma information is presented for informational purposes only and is not necessarily indicative of future operations or results had the acquisitions occurred on October 1, 2022.</w:t>
      </w:r>
    </w:p>
    <w:p>
      <w:pPr>
        <w:sectPr>
          <w:pgSz w:w="11900" w:h="16838" w:orient="portrait"/>
          <w:cols w:equalWidth="0" w:num="1">
            <w:col w:w="11280"/>
          </w:cols>
          <w:pgMar w:left="300" w:top="57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Net revenue</w:t>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Net loss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Inventory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Inventory consists of the following: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Raw materials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Finished goods</w:t>
      </w:r>
    </w:p>
    <w:p>
      <w:pPr>
        <w:spacing w:after="0" w:line="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inventory</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976630</wp:posOffset>
            </wp:positionH>
            <wp:positionV relativeFrom="paragraph">
              <wp:posOffset>7620</wp:posOffset>
            </wp:positionV>
            <wp:extent cx="97028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70280" cy="6985"/>
                    </a:xfrm>
                    <a:prstGeom prst="rect">
                      <a:avLst/>
                    </a:prstGeom>
                    <a:noFill/>
                  </pic:spPr>
                </pic:pic>
              </a:graphicData>
            </a:graphic>
          </wp:anchor>
        </w:drawing>
      </w:r>
    </w:p>
    <w:p>
      <w:pPr>
        <w:spacing w:after="0" w:line="160" w:lineRule="exact"/>
        <w:rPr>
          <w:sz w:val="20"/>
          <w:szCs w:val="20"/>
          <w:color w:val="auto"/>
        </w:rPr>
      </w:pPr>
    </w:p>
    <w:p>
      <w:pPr>
        <w:ind w:left="2680" w:hanging="1142"/>
        <w:spacing w:after="0"/>
        <w:tabs>
          <w:tab w:leader="none" w:pos="26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10,268</w:t>
      </w:r>
    </w:p>
    <w:p>
      <w:pPr>
        <w:spacing w:after="0" w:line="24" w:lineRule="exact"/>
        <w:rPr>
          <w:rFonts w:ascii="Times New Roman" w:cs="Times New Roman" w:eastAsia="Times New Roman" w:hAnsi="Times New Roman"/>
          <w:sz w:val="14"/>
          <w:szCs w:val="14"/>
          <w:color w:val="auto"/>
        </w:rPr>
      </w:pPr>
    </w:p>
    <w:p>
      <w:pPr>
        <w:ind w:left="2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(21,436)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-3723005</wp:posOffset>
            </wp:positionH>
            <wp:positionV relativeFrom="paragraph">
              <wp:posOffset>-210185</wp:posOffset>
            </wp:positionV>
            <wp:extent cx="5725160" cy="1092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25160" cy="10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31"/>
        </w:trPr>
        <w:tc>
          <w:tcPr>
            <w:tcW w:w="440" w:type="dxa"/>
            <w:vAlign w:val="bottom"/>
            <w:gridSpan w:val="2"/>
          </w:tcPr>
          <w:p>
            <w:pPr>
              <w:jc w:val="right"/>
              <w:ind w:right="304"/>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999</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1,550</w:t>
            </w:r>
          </w:p>
        </w:tc>
      </w:tr>
      <w:tr>
        <w:trPr>
          <w:trHeight w:val="186"/>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436</w:t>
            </w:r>
          </w:p>
        </w:tc>
        <w:tc>
          <w:tcPr>
            <w:tcW w:w="4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74"/>
        </w:trPr>
        <w:tc>
          <w:tcPr>
            <w:tcW w:w="2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34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1,725</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-368300</wp:posOffset>
            </wp:positionV>
            <wp:extent cx="7160260" cy="1092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-142875</wp:posOffset>
            </wp:positionV>
            <wp:extent cx="7160260" cy="1295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129540"/>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6280" w:space="720"/>
            <w:col w:w="4280"/>
          </w:cols>
          <w:pgMar w:left="300" w:top="575" w:right="31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6 — Property and Equipment, net</w:t>
            </w:r>
          </w:p>
        </w:tc>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and equipment, net consists of the following:</w:t>
            </w: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5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Equipment and furniture</w:t>
            </w:r>
          </w:p>
        </w:tc>
        <w:tc>
          <w:tcPr>
            <w:tcW w:w="226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rPr>
              <w:t>5 - 7</w:t>
            </w:r>
          </w:p>
        </w:tc>
        <w:tc>
          <w:tcPr>
            <w:tcW w:w="56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400</w:t>
            </w:r>
          </w:p>
        </w:tc>
        <w:tc>
          <w:tcPr>
            <w:tcW w:w="420" w:type="dxa"/>
            <w:vAlign w:val="bottom"/>
            <w:gridSpan w:val="2"/>
            <w:shd w:val="clear" w:color="auto" w:fill="CCEEFF"/>
          </w:tcPr>
          <w:p>
            <w:pPr>
              <w:jc w:val="right"/>
              <w:ind w:right="284"/>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Laboratory equipment</w:t>
            </w:r>
          </w:p>
        </w:tc>
        <w:tc>
          <w:tcPr>
            <w:tcW w:w="2260" w:type="dxa"/>
            <w:vAlign w:val="bottom"/>
          </w:tcPr>
          <w:p>
            <w:pPr>
              <w:jc w:val="right"/>
              <w:ind w:right="1008"/>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681</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40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Leasehold improvements</w:t>
            </w:r>
          </w:p>
        </w:tc>
        <w:tc>
          <w:tcPr>
            <w:tcW w:w="2260" w:type="dxa"/>
            <w:vAlign w:val="bottom"/>
            <w:shd w:val="clear" w:color="auto" w:fill="CCEEFF"/>
          </w:tcPr>
          <w:p>
            <w:pPr>
              <w:jc w:val="center"/>
              <w:spacing w:after="0" w:line="157" w:lineRule="exact"/>
              <w:rPr>
                <w:sz w:val="20"/>
                <w:szCs w:val="20"/>
                <w:color w:val="auto"/>
              </w:rPr>
            </w:pPr>
            <w:r>
              <w:rPr>
                <w:rFonts w:ascii="Times New Roman" w:cs="Times New Roman" w:eastAsia="Times New Roman" w:hAnsi="Times New Roman"/>
                <w:sz w:val="14"/>
                <w:szCs w:val="14"/>
                <w:color w:val="auto"/>
              </w:rPr>
              <w:t>Shorter of estimated useful life or</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00" w:type="dxa"/>
            <w:vAlign w:val="bottom"/>
            <w:shd w:val="clear" w:color="auto" w:fill="CCEEFF"/>
          </w:tcPr>
          <w:p>
            <w:pPr>
              <w:spacing w:after="0"/>
              <w:rPr>
                <w:sz w:val="17"/>
                <w:szCs w:val="17"/>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remaining lease term</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891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2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(794)</w:t>
            </w: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(1,349)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for the years ended September 30, 2025 and 2024 was $366 and $472, respectively.</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During the year ended September 30, 2025, the Company recognized losses of $472 on the disposal of certain assets, principally consisting of equipment and furniture and leasehold improvements, at a leased office the Company vacated. Such losses are principally included in selling, general and administrative expenses in the consolidated statements of operations and comprehensive loss. During the year ended September 30, 2024, the Company wrote off certain tooling having a carrying value of $584 which management determined it would not use in production. The charge is included in “Research and development” in the consolidated statements of operations and comprehensive loss.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type w:val="continuous"/>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7 — Intangible Assets, net</w:t>
            </w: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Intangible assets, net consist of the following:</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Developed technology</w:t>
            </w:r>
          </w:p>
        </w:tc>
        <w:tc>
          <w:tcPr>
            <w:tcW w:w="90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7 – 10</w:t>
            </w:r>
          </w:p>
        </w:tc>
        <w:tc>
          <w:tcPr>
            <w:tcW w:w="4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5,689</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(2,798)</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2,891</w:t>
            </w:r>
          </w:p>
        </w:tc>
        <w:tc>
          <w:tcPr>
            <w:tcW w:w="2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5,689</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(2,216)</w:t>
            </w:r>
          </w:p>
        </w:tc>
        <w:tc>
          <w:tcPr>
            <w:tcW w:w="2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3,473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9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12 – 15</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11,900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(1,374)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10,526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11,900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(458)</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11,442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names</w:t>
            </w:r>
          </w:p>
        </w:tc>
        <w:tc>
          <w:tcPr>
            <w:tcW w:w="90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 – 2.5</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300</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(198)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Backlog</w:t>
            </w:r>
          </w:p>
        </w:tc>
        <w:tc>
          <w:tcPr>
            <w:tcW w:w="9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(236)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17,889</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(4,370</w:t>
            </w:r>
          </w:p>
        </w:tc>
        <w:tc>
          <w:tcPr>
            <w:tcW w:w="260" w:type="dxa"/>
            <w:vAlign w:val="bottom"/>
            <w:tcBorders>
              <w:top w:val="single" w:sz="8" w:color="CCEEFF"/>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260" w:type="dxa"/>
            <w:vAlign w:val="bottom"/>
            <w:tcBorders>
              <w:top w:val="single" w:sz="8" w:color="CCEEFF"/>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 recorded amortization expense related to intangible assets of $1,692 and $1,543 during the years ended September 30, 2025 and 2024, respectively. The weighted-average remaining lives of intangible assets as of September 30, 2025 were developed technology 5.0 years; customer relationships 11.6 years; and trade names 1.0 years.</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During the year ended September 30, 2024, as a result of declining sales of AOCs and strategic decisions on investment across the Company’s product groups, the Company tested the related long-lived assets for possible impairment. Based on this test, the Company concluded that the carrying value of the AOCs asset group exceeded its estimated fair value, and the Company recorded an impairment charge of $1,333 to write down the carrying value of the long-lived assets (consisting of developed technology and customer relationships). The Company estimated the fair value of the AOCs asset group using a discounted cash flow model.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Estimated future amortization expense for intangible assets by fiscal year as of September 30, 2025 is as follows:</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4"/>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Years ending September 30,</w:t>
            </w: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4"/>
        </w:trPr>
        <w:tc>
          <w:tcPr>
            <w:tcW w:w="9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1,590</w:t>
            </w:r>
          </w:p>
        </w:tc>
      </w:tr>
      <w:tr>
        <w:trPr>
          <w:trHeight w:val="172"/>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1,510</w:t>
            </w:r>
          </w:p>
        </w:tc>
      </w:tr>
      <w:tr>
        <w:trPr>
          <w:trHeight w:val="172"/>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1,498</w:t>
            </w:r>
          </w:p>
        </w:tc>
      </w:tr>
      <w:tr>
        <w:trPr>
          <w:trHeight w:val="172"/>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1,498</w:t>
            </w:r>
          </w:p>
        </w:tc>
      </w:tr>
      <w:tr>
        <w:trPr>
          <w:trHeight w:val="172"/>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1,454</w:t>
            </w:r>
          </w:p>
        </w:tc>
      </w:tr>
      <w:tr>
        <w:trPr>
          <w:trHeight w:val="183"/>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8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5,969</w:t>
            </w:r>
          </w:p>
        </w:tc>
      </w:tr>
      <w:tr>
        <w:trPr>
          <w:trHeight w:val="174"/>
        </w:trPr>
        <w:tc>
          <w:tcPr>
            <w:tcW w:w="92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800" w:type="dxa"/>
            <w:vAlign w:val="bottom"/>
            <w:tcBorders>
              <w:top w:val="single" w:sz="8" w:color="auto"/>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Goodwill</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following table summarizes changes in the carrying amount of goodwill during the years ended September 30, 2024. There were no changes in the carrying amount of goodwill during the year ended September 30,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w:t>
            </w:r>
          </w:p>
        </w:tc>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80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5,217</w:t>
            </w:r>
          </w:p>
        </w:tc>
        <w:tc>
          <w:tcPr>
            <w:tcW w:w="80" w:type="dxa"/>
            <w:vAlign w:val="bottom"/>
            <w:shd w:val="clear" w:color="auto" w:fill="CCEEFF"/>
          </w:tcPr>
          <w:p>
            <w:pPr>
              <w:spacing w:after="0"/>
              <w:rPr>
                <w:sz w:val="14"/>
                <w:szCs w:val="14"/>
                <w:color w:val="auto"/>
              </w:rPr>
            </w:pPr>
          </w:p>
        </w:tc>
      </w:tr>
      <w:tr>
        <w:trPr>
          <w:trHeight w:val="172"/>
        </w:trPr>
        <w:tc>
          <w:tcPr>
            <w:tcW w:w="9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 of EMI Solutions</w:t>
            </w:r>
          </w:p>
        </w:tc>
        <w:tc>
          <w:tcPr>
            <w:tcW w:w="8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6,841</w:t>
            </w:r>
          </w:p>
        </w:tc>
        <w:tc>
          <w:tcPr>
            <w:tcW w:w="80" w:type="dxa"/>
            <w:vAlign w:val="bottom"/>
          </w:tcPr>
          <w:p>
            <w:pPr>
              <w:spacing w:after="0"/>
              <w:rPr>
                <w:sz w:val="14"/>
                <w:szCs w:val="14"/>
                <w:color w:val="auto"/>
              </w:rPr>
            </w:pPr>
          </w:p>
        </w:tc>
      </w:tr>
      <w:tr>
        <w:trPr>
          <w:trHeight w:val="183"/>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of RaGE Systems</w:t>
            </w:r>
          </w:p>
        </w:tc>
        <w:tc>
          <w:tcPr>
            <w:tcW w:w="8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4,008</w:t>
            </w:r>
          </w:p>
        </w:tc>
        <w:tc>
          <w:tcPr>
            <w:tcW w:w="80" w:type="dxa"/>
            <w:vAlign w:val="bottom"/>
            <w:shd w:val="clear" w:color="auto" w:fill="CCEEFF"/>
          </w:tcPr>
          <w:p>
            <w:pPr>
              <w:spacing w:after="0"/>
              <w:rPr>
                <w:sz w:val="15"/>
                <w:szCs w:val="15"/>
                <w:color w:val="auto"/>
              </w:rPr>
            </w:pPr>
          </w:p>
        </w:tc>
      </w:tr>
      <w:tr>
        <w:trPr>
          <w:trHeight w:val="17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Balance at September 30,</w:t>
            </w:r>
          </w:p>
        </w:tc>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 and 2025</w:t>
            </w:r>
          </w:p>
        </w:tc>
        <w:tc>
          <w:tcPr>
            <w:tcW w:w="800" w:type="dxa"/>
            <w:vAlign w:val="bottom"/>
            <w:tcBorders>
              <w:top w:val="single" w:sz="8" w:color="auto"/>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16,066</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performed its annual goodwill assessment as of July 31. The Company assessed all relevant qualitative factors to determine whether it was more likely than not that the fair value of a reporting unit was less than its carrying amount. Based on this assessment, the Company concluded that it was more likely than not that the fair value of each reporting unit was greater than its carrying amount, and that a quantitative goodwill impairment test was not necessary. The Company recorded no impairment charges on goodwill for the years ended September 30, 2025 and 2024.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9 — Accrued Expenses and Other Current Liabilities</w:t>
            </w:r>
          </w:p>
        </w:tc>
        <w:tc>
          <w:tcPr>
            <w:tcW w:w="1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 consist of the following:</w:t>
            </w: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2780" w:type="dxa"/>
            <w:vAlign w:val="bottom"/>
            <w:gridSpan w:val="2"/>
            <w:shd w:val="clear" w:color="auto" w:fill="CCEEFF"/>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1,770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Accrued professional fees</w:t>
            </w: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694</w:t>
            </w:r>
          </w:p>
        </w:tc>
        <w:tc>
          <w:tcPr>
            <w:tcW w:w="54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4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393</w:t>
            </w:r>
          </w:p>
        </w:tc>
        <w:tc>
          <w:tcPr>
            <w:tcW w:w="5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Committed equity facility fees</w:t>
            </w:r>
          </w:p>
        </w:tc>
        <w:tc>
          <w:tcPr>
            <w:tcW w:w="14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1,553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Unpaid Merger-related transaction costs</w:t>
            </w: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RaGE Earnout</w:t>
            </w:r>
          </w:p>
        </w:tc>
        <w:tc>
          <w:tcPr>
            <w:tcW w:w="14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2,098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w:t>
            </w: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ind w:right="11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11,122</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10,325</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10 — Debt</w:t>
            </w:r>
          </w:p>
        </w:tc>
        <w:tc>
          <w:tcPr>
            <w:tcW w:w="1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54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Debt consists of the following:</w:t>
            </w: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w:t>
            </w:r>
          </w:p>
        </w:tc>
        <w:tc>
          <w:tcPr>
            <w:tcW w:w="2780" w:type="dxa"/>
            <w:vAlign w:val="bottom"/>
            <w:gridSpan w:val="2"/>
            <w:shd w:val="clear" w:color="auto" w:fill="CCEEFF"/>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3,934</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7% promissory notes – related parties</w:t>
            </w: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 related parties</w:t>
            </w:r>
          </w:p>
        </w:tc>
        <w:tc>
          <w:tcPr>
            <w:tcW w:w="14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debt</w:t>
            </w:r>
          </w:p>
        </w:tc>
        <w:tc>
          <w:tcPr>
            <w:tcW w:w="1460" w:type="dxa"/>
            <w:vAlign w:val="bottom"/>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6,185</w:t>
            </w:r>
          </w:p>
        </w:tc>
        <w:tc>
          <w:tcPr>
            <w:tcW w:w="3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Amounts classified as current</w:t>
            </w:r>
          </w:p>
        </w:tc>
        <w:tc>
          <w:tcPr>
            <w:tcW w:w="14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(5,086)</w:t>
            </w:r>
          </w:p>
        </w:tc>
        <w:tc>
          <w:tcPr>
            <w:tcW w:w="540" w:type="dxa"/>
            <w:vAlign w:val="bottom"/>
            <w:shd w:val="clear" w:color="auto" w:fill="CCEEFF"/>
          </w:tcPr>
          <w:p>
            <w:pPr>
              <w:spacing w:after="0"/>
              <w:rPr>
                <w:sz w:val="15"/>
                <w:szCs w:val="15"/>
                <w:color w:val="auto"/>
              </w:rPr>
            </w:pPr>
          </w:p>
        </w:tc>
        <w:tc>
          <w:tcPr>
            <w:tcW w:w="1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(2,141)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Noncurrent portion</w:t>
            </w:r>
          </w:p>
        </w:tc>
        <w:tc>
          <w:tcPr>
            <w:tcW w:w="1460" w:type="dxa"/>
            <w:vAlign w:val="bottom"/>
          </w:tcPr>
          <w:p>
            <w:pPr>
              <w:spacing w:after="0"/>
              <w:rPr>
                <w:sz w:val="15"/>
                <w:szCs w:val="15"/>
                <w:color w:val="auto"/>
              </w:rPr>
            </w:pPr>
          </w:p>
        </w:tc>
        <w:tc>
          <w:tcPr>
            <w:tcW w:w="1320" w:type="dxa"/>
            <w:vAlign w:val="bottom"/>
            <w:tcBorders>
              <w:top w:val="single" w:sz="8" w:color="auto"/>
              <w:bottom w:val="single" w:sz="8" w:color="auto"/>
            </w:tcBorders>
          </w:tcPr>
          <w:p>
            <w:pPr>
              <w:jc w:val="right"/>
              <w:ind w:right="116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34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Notes Payable</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During the year ended September 30, 2025, the Company entered into three notes payable with financial institutions for net proceeds of $1,734. The notes have terms of seven to eighteen months and require weekly payments, including finance charges, totaling $2,791. The notes are secured by substantially all of the Company’s assets and one note is guaranteed by an officer and director of the Company.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also entered into four additional notes payable having an aggregate principal amount of $1,275 with unrelated investors to meet its working capital needs. Net proceeds from the issuance of the notes were $1,152. Two of the notes bear interest at rates ranging from 7% to 12% per annum; the remaining notes were issued at a discount and bear no interest. The notes mature at various dates from February 2025 to August 2026. One note requires monthly principal payments of $103 commencing in March 2026; the remainder of the notes require payment of the principal balance upon maturity. One note, having a principal amount of $550, provides that the principal and accrued interest thereon, totaling $616, may at the option of the investor be converted into shares of the Company’s Class A Common Stock at any time prior to maturity in August 2026. The Company also entered into a stock pledge agreement with an investor, pursuant to which the Company issued 150,000 shares of its Class A Common Stock as security for the Company’s payment of amounts owed under the note. While such shares are held as collateral the investor is entitled to voting and other rights relating to the shares and, in the event of a default by the Company, the investor would be entitled to sell the pledged shares and apply the proceeds to the balance due under the note. Upon the Company’s repayment of the note, all interest in the pledged shares will revert to the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In connection with the issuance of two notes payable, during the year ended September 30, 2025, the Company issued 34,375 shares of its Class A Common Stock to the investors. The Company accounted for the shares at their fair value of $212 which was recorded as an increase to additional paid-in capital and as a discount to notes payable on the consolidated balance sheet.</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During the year ended September 30, 2025, the Company entered into three agreements for the purchase and sale of future receipts with unrelated buyers, pursuant to which the Company agreed to sell to the buyers certain future trade receipts in the aggregate amount of $4,417 (the “Future Receipts Purchased Amount”) for net proceeds to the Company of $2,430.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March 2026.</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During the year ended September 30, 2024, the Company entered into six promissory notes having an aggregate principal amount of $1,069 with unrelated investors to meet its working capital needs. The Company also issued convertible notes with an aggregate principal amount of $200 to unrelated investors. Net proceeds from the issuance of the notes were $1,198. The notes bear interest at rates ranging from 6% to 76% per annum; one note was issued at a discount and bears no interest. The notes mature at various dates through December 2024 and are unsecured. One note required weekly payments of $4. In connection with the Merger, all outstanding convertible notes were converted into 3,004 shares of the Company’s Class A Common Stock and the $206 carrying amount of the notes and accrued interest thereon was credited to equity, with no gain or loss recognized.</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year ended September 30, 2024, the Company issued immediately exercisable warrants to purchase an aggregate of 20,196 shares of its common stock in connection with the issuance of certain notes. The warrants had exercise prices ranging from $0.10 to $20.00 per share and terms of one to two years. The Company evaluated the warrants and determined that they met all the requirements for equity classification under ASC 815. The Company accounted for each of the warrants as detachable warrants at their fair value, using the relative fair value method, and allocated $155 of the proceeds to the warrants. This amount was recorded as an increase to additional paid-in capital and as a discount to notes payable on the consolidated balance sheets. The Company amortized the discount over the term of the related notes using the effective interest method. The Company valued the warrants at the time of issuance using the Black-Scholes option pricing model with the following assumptions: expected volatility of 55.0-55.6%; no expected dividend yield; risk-free interest rate of 4.7-5.3%; and expected term of one to two years.</w:t>
      </w:r>
    </w:p>
    <w:p>
      <w:pPr>
        <w:spacing w:after="0" w:line="14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During the year ended September 30, 2025, the Company and the holders of three notes agreed to settle the outstanding principal and accrued interest, totaling $661, in exchange for 79,868 shares of the Company’s Class A Common Stock. The Company recognized a loss on the extinguishment of debt of $300, which is included in “Other non-operating losses, net” in the consolidated statements of operations and comprehensive loss.</w:t>
      </w:r>
    </w:p>
    <w:p>
      <w:pPr>
        <w:spacing w:after="0" w:line="13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During the years ended September 30, 2025 and 2024 the Company made principal payments of $1,215 and $1,749, respectively, on notes payable. As of September 30, 2025, notes payable having a remaining principal balance of $4,264 were outstanding and are included in “Notes payable, current” at a carrying amount of $3,934 (net of unamortized discount of $330) in the consolidated balance sheet.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7% Promissory Notes — Related Parties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two outstanding promissory notes with related parties which the Company assumed in 2020 as part of an asset acquisition. The promissory notes bear interest at 7% per annum and are unsecured. During the year ended September 30, 2025, the Company and the holders of the 7% promissory notes each agreed to extend the payment terms, such that the outstanding principal and accrued interest will be repaid in monthly payments of varying amounts through March 2027, with the remaining principal balance of $979 payable on May 15, 2027. As a result of these agreements, the Company has reclassified $1,099 of the outstanding principal balance of the 7% promissory notes to “Notes payable — related parties, noncurrent” in the consolidated balance sheet as of September 30, 2025. The portion of the 7% promissory notes due within one year is included in “Notes payable — related parties, current” in the consolidated balance sheets. During the years ended September 30, 2025 and 2024, the Company made principal payments of $244 and $854 on the 7% promissory notes.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Notes Payable — Related Parties</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During the year ended September 30, 2024, the Company entered into two promissory notes having an aggregate principal amount of $495 with a related party to meet its working capital needs. Net proceeds from the issuance of the notes were $450. The notes bear no interest, are unsecured and matured at various dates through November 2024. The Company repaid one of the notes, having a principal balance of $165, during the year ended September 30, 2024 and repaid the remaining note, having a principal balance of $330, during the year ended September 30,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Leases</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 has entered into operating leases for office space. The leases have remaining terms ranging from three months to 1.8 years and expire at various dates through July 2027. The leases do not contain residual value guarantees or restrictive covenants.</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During the year ended September 30, 2025, the Company entered into new or amended leases relating to four properties. In connection with these leases, the Company recognized additional right-of-use assets and operating lease liabilities of $528. The Company also modified the lease on one property it occupies in Lowell, Massachusetts to reduce the remaining lease term. As a result of the modification, the Company recognized an $86 reduction in the related ROU asset and operating lease liability. There were no leases that had not yet commenced as of September 30, 2025 that will create significant additional rights and obligations for the Company.</w:t>
      </w:r>
    </w:p>
    <w:p>
      <w:pPr>
        <w:spacing w:after="0" w:line="14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March 2025, the Company vacated a leased 19,436 square foot office in Irvine, California, having a remaining lease term of 2.4 years and in April 2025 the lease was terminated. As a result of the termination of the lease, the Company recognized an impairment loss of $725 to reduce the carrying value of this asset group to its estimated fair value. The resulting impairment loss is included in “Impairment of long-lived assets” in the condensed consolidated statements of operations and comprehensive loss.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lease costs are included in the consolidated statements of operations and comprehensive loss:</w:t>
            </w: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1780" w:type="dxa"/>
            <w:vAlign w:val="bottom"/>
            <w:gridSpan w:val="2"/>
            <w:shd w:val="clear" w:color="auto" w:fill="CCEEFF"/>
          </w:tcPr>
          <w:p>
            <w:pPr>
              <w:jc w:val="right"/>
              <w:ind w:right="12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546</w:t>
            </w:r>
          </w:p>
        </w:tc>
        <w:tc>
          <w:tcPr>
            <w:tcW w:w="5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Short-term lease cost</w:t>
            </w: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cost</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ind w:right="122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 for the years ended September 30, 2025 and 2024 was $549 and $563, respectively. As of September 30, 2025, the weighted-average remaining lease term was 1.3 years, and the weighted-average discount rate was 15.6%.</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reconciles the undiscounted cash flows to the operating lease liabilities recorded on the consolidated balance sheet as of September 30,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ending September 30,</w:t>
            </w:r>
          </w:p>
        </w:tc>
        <w:tc>
          <w:tcPr>
            <w:tcW w:w="1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11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38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38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17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Present value of future minimum lease payments</w:t>
            </w:r>
          </w:p>
        </w:tc>
        <w:tc>
          <w:tcPr>
            <w:tcW w:w="17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current obligations under leases</w:t>
            </w: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lease obligations</w:t>
            </w:r>
          </w:p>
        </w:tc>
        <w:tc>
          <w:tcPr>
            <w:tcW w:w="17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12 — Income Taxes</w:t>
            </w:r>
          </w:p>
        </w:tc>
        <w:tc>
          <w:tcPr>
            <w:tcW w:w="1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960" w:type="dxa"/>
            <w:vAlign w:val="bottom"/>
            <w:gridSpan w:val="3"/>
            <w:vMerge w:val="continue"/>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90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Substantially all of the Company’s pretax loss was generated in the United States. The provision (benefit) for income taxes consists of the following:</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4"/>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20" w:type="dxa"/>
            <w:vAlign w:val="bottom"/>
            <w:vMerge w:val="restart"/>
          </w:tcPr>
          <w:p>
            <w:pPr>
              <w:spacing w:after="0"/>
              <w:rPr>
                <w:sz w:val="14"/>
                <w:szCs w:val="14"/>
                <w:color w:val="auto"/>
              </w:rPr>
            </w:pPr>
          </w:p>
        </w:tc>
        <w:tc>
          <w:tcPr>
            <w:tcW w:w="38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w:t>
            </w:r>
          </w:p>
        </w:tc>
        <w:tc>
          <w:tcPr>
            <w:tcW w:w="1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2120" w:type="dxa"/>
            <w:vAlign w:val="bottom"/>
            <w:gridSpan w:val="2"/>
          </w:tcPr>
          <w:p>
            <w:pPr>
              <w:jc w:val="right"/>
              <w:ind w:right="224"/>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324"/>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1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current</w:t>
            </w:r>
          </w:p>
        </w:tc>
        <w:tc>
          <w:tcPr>
            <w:tcW w:w="17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20" w:type="dxa"/>
            <w:vAlign w:val="bottom"/>
            <w:vMerge w:val="restart"/>
          </w:tcPr>
          <w:p>
            <w:pPr>
              <w:spacing w:after="0"/>
              <w:rPr>
                <w:sz w:val="14"/>
                <w:szCs w:val="14"/>
                <w:color w:val="auto"/>
              </w:rPr>
            </w:pPr>
          </w:p>
        </w:tc>
        <w:tc>
          <w:tcPr>
            <w:tcW w:w="382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Deferred</w:t>
            </w:r>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1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(2,198)</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1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(234)</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deferred</w:t>
            </w:r>
          </w:p>
        </w:tc>
        <w:tc>
          <w:tcPr>
            <w:tcW w:w="17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84"/>
              </w:rPr>
              <w:t>)</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780" w:type="dxa"/>
            <w:vAlign w:val="bottom"/>
          </w:tcPr>
          <w:p>
            <w:pPr>
              <w:spacing w:after="0"/>
              <w:rPr>
                <w:sz w:val="15"/>
                <w:szCs w:val="15"/>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84"/>
              </w:rPr>
              <w:t>)</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provision (benefit) for income taxes differs from the amount computed by applying the U.S. federal statutory rate of 21% to the Company’s loss before income taxes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140" w:type="dxa"/>
            <w:vAlign w:val="bottom"/>
            <w:vMerge w:val="restart"/>
          </w:tcPr>
          <w:p>
            <w:pPr>
              <w:spacing w:after="0"/>
              <w:rPr>
                <w:sz w:val="14"/>
                <w:szCs w:val="14"/>
                <w:color w:val="auto"/>
              </w:rPr>
            </w:pPr>
          </w:p>
        </w:tc>
        <w:tc>
          <w:tcPr>
            <w:tcW w:w="3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vMerge w:val="continue"/>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benefit computed at the U.S. federal statutory rate</w:t>
            </w:r>
          </w:p>
        </w:tc>
        <w:tc>
          <w:tcPr>
            <w:tcW w:w="268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(9,685)</w:t>
            </w:r>
          </w:p>
        </w:tc>
        <w:tc>
          <w:tcPr>
            <w:tcW w:w="56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(4,717)</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 and local income tax benefits, net of federal benefit</w:t>
            </w: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5,758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4,865</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Non-deductible transaction costs</w:t>
            </w: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1,181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Fair value of warrants issued to investors</w:t>
            </w:r>
          </w:p>
        </w:tc>
        <w:tc>
          <w:tcPr>
            <w:tcW w:w="1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1,342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154</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 tax rate change</w:t>
            </w: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earnout liability</w:t>
            </w:r>
          </w:p>
        </w:tc>
        <w:tc>
          <w:tcPr>
            <w:tcW w:w="1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(6,695)</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1,996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1,107</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Non-deductible executive compensation</w:t>
            </w:r>
          </w:p>
        </w:tc>
        <w:tc>
          <w:tcPr>
            <w:tcW w:w="16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1,232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1,916</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505</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64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1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jc w:val="right"/>
              <w:ind w:right="1936"/>
              <w:spacing w:after="0"/>
              <w:rPr>
                <w:sz w:val="20"/>
                <w:szCs w:val="20"/>
                <w:color w:val="auto"/>
              </w:rPr>
            </w:pPr>
            <w:r>
              <w:rPr>
                <w:rFonts w:ascii="Times New Roman" w:cs="Times New Roman" w:eastAsia="Times New Roman" w:hAnsi="Times New Roman"/>
                <w:sz w:val="14"/>
                <w:szCs w:val="14"/>
                <w:color w:val="auto"/>
              </w:rPr>
              <w:t>F-48</w:t>
            </w: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574" w:right="31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tax liabilities, net consist of the following:</w:t>
            </w:r>
          </w:p>
        </w:tc>
        <w:tc>
          <w:tcPr>
            <w:tcW w:w="1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140" w:type="dxa"/>
            <w:vAlign w:val="bottom"/>
            <w:vMerge w:val="restart"/>
          </w:tcPr>
          <w:p>
            <w:pPr>
              <w:spacing w:after="0"/>
              <w:rPr>
                <w:sz w:val="14"/>
                <w:szCs w:val="14"/>
                <w:color w:val="auto"/>
              </w:rPr>
            </w:pPr>
          </w:p>
        </w:tc>
        <w:tc>
          <w:tcPr>
            <w:tcW w:w="3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vMerge w:val="continue"/>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17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operating losses</w:t>
            </w:r>
          </w:p>
        </w:tc>
        <w:tc>
          <w:tcPr>
            <w:tcW w:w="2700" w:type="dxa"/>
            <w:vAlign w:val="bottom"/>
            <w:gridSpan w:val="2"/>
          </w:tcPr>
          <w:p>
            <w:pPr>
              <w:jc w:val="right"/>
              <w:ind w:right="876"/>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18,686</w:t>
            </w:r>
          </w:p>
        </w:tc>
        <w:tc>
          <w:tcPr>
            <w:tcW w:w="56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14,312</w:t>
            </w: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7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6,195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4,190</w:t>
            </w: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Section 174 capitalized costs</w:t>
            </w:r>
          </w:p>
        </w:tc>
        <w:tc>
          <w:tcPr>
            <w:tcW w:w="1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2,303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2,843</w:t>
            </w: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17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Lease liabilities</w:t>
            </w:r>
          </w:p>
        </w:tc>
        <w:tc>
          <w:tcPr>
            <w:tcW w:w="1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4"/>
                <w:szCs w:val="14"/>
                <w:color w:val="auto"/>
              </w:rPr>
              <w:t>639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gross deferred tax assets</w:t>
            </w:r>
          </w:p>
        </w:tc>
        <w:tc>
          <w:tcPr>
            <w:tcW w:w="17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Valuation allowance</w:t>
            </w:r>
          </w:p>
        </w:tc>
        <w:tc>
          <w:tcPr>
            <w:tcW w:w="1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(25,095)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(19,152)</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deferred tax assets</w:t>
            </w:r>
          </w:p>
        </w:tc>
        <w:tc>
          <w:tcPr>
            <w:tcW w:w="17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vMerge w:val="restart"/>
          </w:tcPr>
          <w:p>
            <w:pPr>
              <w:spacing w:after="0"/>
              <w:rPr>
                <w:sz w:val="14"/>
                <w:szCs w:val="14"/>
                <w:color w:val="auto"/>
              </w:rPr>
            </w:pPr>
          </w:p>
        </w:tc>
        <w:tc>
          <w:tcPr>
            <w:tcW w:w="39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vMerge w:val="continue"/>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1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17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(3,218)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(3,566)</w:t>
            </w:r>
          </w:p>
        </w:tc>
        <w:tc>
          <w:tcPr>
            <w:tcW w:w="0" w:type="dxa"/>
            <w:vAlign w:val="bottom"/>
          </w:tcPr>
          <w:p>
            <w:pPr>
              <w:spacing w:after="0"/>
              <w:rPr>
                <w:sz w:val="1"/>
                <w:szCs w:val="1"/>
                <w:color w:val="auto"/>
              </w:rPr>
            </w:pPr>
          </w:p>
        </w:tc>
      </w:tr>
      <w:tr>
        <w:trPr>
          <w:trHeight w:val="172"/>
        </w:trPr>
        <w:tc>
          <w:tcPr>
            <w:tcW w:w="1140" w:type="dxa"/>
            <w:vAlign w:val="bottom"/>
          </w:tcPr>
          <w:p>
            <w:pPr>
              <w:spacing w:after="0"/>
              <w:rPr>
                <w:sz w:val="14"/>
                <w:szCs w:val="14"/>
                <w:color w:val="auto"/>
              </w:rPr>
            </w:pPr>
          </w:p>
        </w:tc>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asset depreciation</w:t>
            </w:r>
          </w:p>
        </w:tc>
        <w:tc>
          <w:tcPr>
            <w:tcW w:w="1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ROU assets</w:t>
            </w:r>
          </w:p>
        </w:tc>
        <w:tc>
          <w:tcPr>
            <w:tcW w:w="1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39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gross deferred tax liabilities</w:t>
            </w:r>
          </w:p>
        </w:tc>
        <w:tc>
          <w:tcPr>
            <w:tcW w:w="170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(3,331</w:t>
            </w:r>
          </w:p>
        </w:tc>
        <w:tc>
          <w:tcPr>
            <w:tcW w:w="16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17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connection with the acquisitions of EMI Solutions and RaGE Systems, the Company recognized additional deferred tax liabilities totaling $2,666 associated with acquired intangible assets. Based on the availability of these tax attributes, the Company determined that it expects to realize a greater portion of its existing deferred tax assets and for the year ended September 30, 2024 the Company recognized a deferred income tax benefit of $2,432, principally resulting from reductions of the valuation allowance on its deferred tax assets.</w:t>
      </w:r>
    </w:p>
    <w:p>
      <w:pPr>
        <w:spacing w:after="0" w:line="13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During the years ended September 30, 2025 and 2024, the Company increased the valuation allowance against its deferred tax assets by $5,943 and $7,297, respectively, which primarily related to increases in net deferred tax assets from current year activity that the Company expects will not be realized in the future. During the year ended September 30, 2024, the Company also reduced the valuation allowance and recognized a deferred tax benefit of $2,432 as a result of the deferred tax liabilities it recognized in connection with the acquisitions of EMI Solutions and RaGE Systems. As of September 30, 2025, the Company has accumulated federal and state net operating losses (“NOLs”) of $74,090 and $48,943, respectively. The federal NOLs may be carried forward indefinitely and the state NOLs begin to expire in 2031.</w:t>
      </w:r>
    </w:p>
    <w:p>
      <w:pPr>
        <w:spacing w:after="0" w:line="14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Company’s ability to carry forward its NOLs and research credits may be subject to significant limitations under Section 382 of the Internal Revenue Code of 1986, as amended (“Section 382”). The federal net operating losses have an indefinite carryforward period but are available to offset only 80% of future taxable income. The Company’s ability to use its federal NOL carryforwards may be further limited if it experiences an “ownership change” as defined in Section 382.</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has unrecognized tax benefits of $2,080 as of September 30, 2025 and 2024. There were no changes in the Company’s unrecognized tax benefits during the fiscal years ended September 30, 2025 and 2024. The Company records interest and penalties related to unrecognized tax benefits in the provision (benefit) for income taxes in the consolidated statements of operations and comprehensive loss. As of September 30, 2025 and 2024, no accrued interest or penalties are recorded on the consolidated balance sheets, and the Company has not recorded any related expenses. The Company does not expect a significant change in its uncertain tax positions within the next twelve months.</w:t>
      </w:r>
    </w:p>
    <w:p>
      <w:pPr>
        <w:spacing w:after="0" w:line="1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files U.S. federal and various state income tax returns. As of September 30, 2025, the U.S. federal and state tax returns are open to examination for calendar years 2021 through 2024.</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Tax Cuts and Jobs Act (“TCJA”) requires that taxpayers capitalize expenditures that qualify as Section 174 costs and recover them over five years for domestic expenditures, and fifteen years for expenditures attributed for foreign research. As of September 30, 2025, the Company has capitalized $20,958 of costs under this provision.</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On July 4, 2025, United States President Donald J. Trump signed the One Big Beautiful Bill Act (“OBBBA”) into law. The OBBBA includes significant provisions, such as the permanent extension of certain expiring provisions of the TCJA, modifications to the international tax framework and the restoration of favorable tax treatment for certain business provisions. The OBBBA has multiple effective dates, with certain provisions effective in 2025 and others implemented through 2027. The Company has evaluated the provisions of the OBBBA and determined they do not have a significant impact on its operations and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Commitments and Contingencies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previously engaged a financial advisor to provide services and the financial advisor has asserted that the Company owes additional funds in excess of amounts previously recognized. The Company disputes the financial advisor’s claim. As of the date of these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Litigation</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Indemnifications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September 30, 2025 or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Equity</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In connection with the Merger, the Company adopted its amended and restated certificate of incorporation and amended and restated bylaws. The amended and restated certificate of incorporation authorizes the issuance of preferred stock, Class A Common Stock and Class B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Preferred Stock</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In connection with the Merger, all outstanding shares of Legacy Mobix Founders Redeemable Convertible Preferred Stock and Series A Redeemable Convertible Preferred Stock were cancelled and converted into 225,490 shares of the Company’s Class B Common Stock.</w:t>
      </w:r>
    </w:p>
    <w:p>
      <w:pPr>
        <w:spacing w:after="0" w:line="12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amended and restated certificate of incorporation authorizes the Company to issue 10,000,000 shares of preferred stock, par value $0.00001, and the Company’s board of directors is authorized to designate one or more series of preferred stock, to fix the number of shares constituting any such series of preferred stock, and the powers, preferences and rights of any such series of preferred stock. Through September 30, 2025, the board of directors had not designated any such series of preferred stock and as of September 30, 2025 no shares of preferred stock were issued or outstanding.</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Common Stock</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Company is authorized to issue 285,000,000 shares of Class A Common Stock and 5,000,000 shares of Class B Common Stock. Holders of Class A and Class B Common Stock are each entitled to receive ratably any dividends or distributions as may be declared from time to time by the board of directors. Each class of common stock is subordinate to the Company’s preferred stock with respect to rights upon liquidation of the Company. Neither class of common stock is redeemable at the option of the holders. The holders of Class A and Class B Common Stock are entitled to vote together as a single class, with each holder of outstanding shares of Class A Common Stock entitled to one vote for each share of Class A Common Stock and each holder of outstanding shares of Class B Common Stock entitled to ten votes for each share of Class B Common Stock. Holders of shares of Class B Common Stock may elect at any time to convert each outstanding share of Class B Common Stock into one share of Class A Common Stock. Shares of Class B Common Stock are also subject to automatic conversion into shares of Class A Common Stock upon the occurrence of certain events or, if not previously converted, upon the seventh anniversary of the Closing.</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During the year ended September 30, 2025, the Company sold 157,446 shares of its Class A Common Stock in private placements for net proceeds of $1,600. In connection with the issuance of these shares, the Company also granted one investor a warrant to purchase 50,004 shares of common stock at a price of $9.60 per share. The warrant is immediately exercisable and has a term of three years. The Company determined the warrant to be a freestanding equity instrument with no subsequent remeasurement. The Company also issued 385,000 shares of its Class A Common Stock in connection with the April 2025 Offering. See Note 15, </w:t>
      </w:r>
      <w:r>
        <w:rPr>
          <w:rFonts w:ascii="Times New Roman" w:cs="Times New Roman" w:eastAsia="Times New Roman" w:hAnsi="Times New Roman"/>
          <w:sz w:val="14"/>
          <w:szCs w:val="14"/>
          <w:i w:val="1"/>
          <w:iCs w:val="1"/>
          <w:color w:val="auto"/>
        </w:rPr>
        <w:t>Warrants</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year ended September 30, 2024, Legacy Mobix sold 48,217 shares of its common stock at various dates in private placements for net proceeds of $3,286. In connection with the issuance of these shares, Legacy Mobix also granted one investor a warrant to purchase 2,741 shares of common stock at a price of $0.10 per share. The warrant is immediately exercisable and has a term of one year. The Company determined the warrant to be a freestanding equity instrument with no subsequent remeasurement. The Company determined the amount recognized within additional paid-in capital by allocating the proceeds received among the shares of common stock and the warrant issued based on their relative fair values. Subsequent to the Merger, the Company sold 37,000 shares of its Class A Common Stock to an unaffiliated investor for proceeds of $192. The Company also issued the investor a warrant to purchase an aggregate of 40,700 shares of its Class A Common Stock at a price of $11.80 per share. The warrant is immediately exercisable and has a five-year term.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2025, the number of shares of Class A Common Stock available for issuance under the Company’s amended and restated articles of incorporation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Authorized number of shares of Class A Common Stock</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285,000,000</w:t>
            </w:r>
          </w:p>
        </w:tc>
      </w:tr>
      <w:tr>
        <w:trPr>
          <w:trHeight w:val="172"/>
        </w:trPr>
        <w:tc>
          <w:tcPr>
            <w:tcW w:w="9260" w:type="dxa"/>
            <w:vAlign w:val="bottom"/>
          </w:tcPr>
          <w:p>
            <w:pPr>
              <w:spacing w:after="0"/>
              <w:rPr>
                <w:sz w:val="20"/>
                <w:szCs w:val="20"/>
                <w:color w:val="auto"/>
              </w:rPr>
            </w:pPr>
            <w:r>
              <w:rPr>
                <w:rFonts w:ascii="Times New Roman" w:cs="Times New Roman" w:eastAsia="Times New Roman" w:hAnsi="Times New Roman"/>
                <w:sz w:val="14"/>
                <w:szCs w:val="14"/>
                <w:color w:val="auto"/>
              </w:rPr>
              <w:t>Less:</w:t>
            </w: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 Common Stock outstanding</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5,883,842</w:t>
            </w:r>
          </w:p>
        </w:tc>
      </w:tr>
      <w:tr>
        <w:trPr>
          <w:trHeight w:val="172"/>
        </w:trPr>
        <w:tc>
          <w:tcPr>
            <w:tcW w:w="9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Reserve for conversion of Class B Common Stock</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200,491</w:t>
            </w:r>
          </w:p>
        </w:tc>
      </w:tr>
      <w:tr>
        <w:trPr>
          <w:trHeight w:val="172"/>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Reserve for exercise of common stock warrants</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2,508,573</w:t>
            </w:r>
          </w:p>
        </w:tc>
      </w:tr>
      <w:tr>
        <w:trPr>
          <w:trHeight w:val="172"/>
        </w:trPr>
        <w:tc>
          <w:tcPr>
            <w:tcW w:w="9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Reserve for Earnout Shares</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350,000</w:t>
            </w:r>
          </w:p>
        </w:tc>
      </w:tr>
      <w:tr>
        <w:trPr>
          <w:trHeight w:val="172"/>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Reserve for RaGE Earnout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64,280</w:t>
            </w:r>
          </w:p>
        </w:tc>
      </w:tr>
      <w:tr>
        <w:trPr>
          <w:trHeight w:val="172"/>
        </w:trPr>
        <w:tc>
          <w:tcPr>
            <w:tcW w:w="9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options and RSUs</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1,564,028</w:t>
            </w:r>
          </w:p>
        </w:tc>
      </w:tr>
      <w:tr>
        <w:trPr>
          <w:trHeight w:val="172"/>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Awards available for grant under 2023 Equity Incentive Plan</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256,089</w:t>
            </w:r>
          </w:p>
        </w:tc>
      </w:tr>
      <w:tr>
        <w:trPr>
          <w:trHeight w:val="183"/>
        </w:trPr>
        <w:tc>
          <w:tcPr>
            <w:tcW w:w="9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Reserve for issuance under 2023 Employee Stock Purchase Plan</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68,705</w:t>
            </w:r>
          </w:p>
        </w:tc>
      </w:tr>
      <w:tr>
        <w:trPr>
          <w:trHeight w:val="174"/>
        </w:trPr>
        <w:tc>
          <w:tcPr>
            <w:tcW w:w="9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A Common Stock available for issuance</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274,103,993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92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never declared or paid any dividends on any class of its equity securities and does not expect to do so in the near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Committed Equity Facility</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March 2024, the Company entered into a Purchase Agreement (“Purchase Agreement”) and a related Registration Rights Agreement with B. Riley Principal Capital II (“B. Riley”) which provides the Company the right, in its sole discretion, and subject to the satisfaction of the conditions set forth therein, to sell to B. Riley up to 950,000 newly issued shares of its Class A Common Stock (subject to certain limitations) from time to time. Any sales of Class A Common Stock pursuant to the Purchase Agreement, and the timing of any sales, are solely at the Company’s option, and the Company is under no obligation to sell any securities to B. Riley. The per share purchase price that B. Riley will pay for shares of Class A Common Stock is determined by reference to the volume weighted average price of the Class A Common Stock measured over the regular trading session or intraday period of the trading session on Nasdaq on the date of each purchase, in each case as defined in the Purchase Agreement, less a three percent discount.</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As consideration for B. Riley’s commitment to purchase shares of the Company’s Class A Common Stock, the Company agreed to pay a cash commitment fee in the amount of $1,500 and reimburse certain legal fees. B. Riley will withhold 30% in cash from the total aggregate purchase price until B. Riley has received the entire cash commitment fee. As of September 30, 2025, $1,478 of the commitment fee remains unpaid, and is currently due. In April 2024, the Company filed a registration statement with the Securities and Exchange Commission to register under the Securities Act, the offer and resale by B. Riley of up to 950,000 shares of Class A Common Stock that the Company may elect to sell to B. Riley pursuant to the Purchase Agreement. The registration statement was declared effective on May 13, 2024.</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During the year ended September 30, 2024, the Company sold 3,636 shares of its Class A Common Stock to B. Riley under the Purchase Agreement for gross proceeds of $73; no shares were sold under the Purchase Agreement during the year ended September 30, 2025. The amount and timing of the proceeds the Company receives from the sale of shares of Class A Common Stock pursuant to the Purchase Agreement, if any, will depend on a number of factors, including the numbers of shares the Company may elect to sell, the timing of such sales, the future market price of the Company’s Class A Common stock and the payment of the cash commitment fee. For the year ended September 30, 2024, cash commitment and other fees under the Purchase Agreement totaling $1,577 are included in “Other non-operating losses, net” in the consolidated statements of operations and comprehensive loss.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warrants consist of the following:</w:t>
      </w:r>
    </w:p>
    <w:p>
      <w:pPr>
        <w:spacing w:after="0" w:line="192"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0" w:type="dxa"/>
            <w:vAlign w:val="bottom"/>
            <w:tcBorders>
              <w:bottom w:val="single" w:sz="8" w:color="CCEEFF"/>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CCEEFF"/>
            </w:tcBorders>
          </w:tcPr>
          <w:p>
            <w:pPr>
              <w:spacing w:after="0"/>
              <w:rPr>
                <w:sz w:val="15"/>
                <w:szCs w:val="15"/>
                <w:color w:val="auto"/>
              </w:rPr>
            </w:pPr>
          </w:p>
        </w:tc>
        <w:tc>
          <w:tcPr>
            <w:tcW w:w="192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63"/>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Warrants</w:t>
            </w:r>
          </w:p>
        </w:tc>
        <w:tc>
          <w:tcPr>
            <w:tcW w:w="1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34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2"/>
        </w:trPr>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Private Warrants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340" w:type="dxa"/>
            <w:vAlign w:val="bottom"/>
          </w:tcPr>
          <w:p>
            <w:pPr>
              <w:spacing w:after="0"/>
              <w:rPr>
                <w:sz w:val="14"/>
                <w:szCs w:val="14"/>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3,000,000</w:t>
            </w:r>
          </w:p>
        </w:tc>
        <w:tc>
          <w:tcPr>
            <w:tcW w:w="80" w:type="dxa"/>
            <w:vAlign w:val="bottom"/>
          </w:tcPr>
          <w:p>
            <w:pPr>
              <w:spacing w:after="0"/>
              <w:rPr>
                <w:sz w:val="14"/>
                <w:szCs w:val="14"/>
                <w:color w:val="auto"/>
              </w:rPr>
            </w:pPr>
          </w:p>
        </w:tc>
      </w:tr>
      <w:tr>
        <w:trPr>
          <w:trHeight w:val="172"/>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PIPE Warrants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34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1,750,000</w:t>
            </w:r>
          </w:p>
        </w:tc>
        <w:tc>
          <w:tcPr>
            <w:tcW w:w="80" w:type="dxa"/>
            <w:vAlign w:val="bottom"/>
            <w:shd w:val="clear" w:color="auto" w:fill="CCEEFF"/>
          </w:tcPr>
          <w:p>
            <w:pPr>
              <w:spacing w:after="0"/>
              <w:rPr>
                <w:sz w:val="14"/>
                <w:szCs w:val="14"/>
                <w:color w:val="auto"/>
              </w:rPr>
            </w:pPr>
          </w:p>
        </w:tc>
      </w:tr>
      <w:tr>
        <w:trPr>
          <w:trHeight w:val="172"/>
        </w:trPr>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 Common Warrants (July 2024 Private Placement)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2,785,491</w:t>
            </w:r>
          </w:p>
        </w:tc>
        <w:tc>
          <w:tcPr>
            <w:tcW w:w="340" w:type="dxa"/>
            <w:vAlign w:val="bottom"/>
          </w:tcPr>
          <w:p>
            <w:pPr>
              <w:spacing w:after="0"/>
              <w:rPr>
                <w:sz w:val="14"/>
                <w:szCs w:val="14"/>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5,755,396</w:t>
            </w:r>
          </w:p>
        </w:tc>
        <w:tc>
          <w:tcPr>
            <w:tcW w:w="80" w:type="dxa"/>
            <w:vAlign w:val="bottom"/>
          </w:tcPr>
          <w:p>
            <w:pPr>
              <w:spacing w:after="0"/>
              <w:rPr>
                <w:sz w:val="14"/>
                <w:szCs w:val="14"/>
                <w:color w:val="auto"/>
              </w:rPr>
            </w:pPr>
          </w:p>
        </w:tc>
      </w:tr>
      <w:tr>
        <w:trPr>
          <w:trHeight w:val="172"/>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Warrants (April 2025 Offering)</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2,360,298</w:t>
            </w:r>
          </w:p>
        </w:tc>
        <w:tc>
          <w:tcPr>
            <w:tcW w:w="340" w:type="dxa"/>
            <w:vAlign w:val="bottom"/>
            <w:shd w:val="clear" w:color="auto" w:fill="CCEEFF"/>
          </w:tcPr>
          <w:p>
            <w:pPr>
              <w:spacing w:after="0"/>
              <w:rPr>
                <w:sz w:val="14"/>
                <w:szCs w:val="14"/>
                <w:color w:val="auto"/>
              </w:rPr>
            </w:pP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Inducement Warrants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8,229,701</w:t>
            </w:r>
          </w:p>
        </w:tc>
        <w:tc>
          <w:tcPr>
            <w:tcW w:w="340" w:type="dxa"/>
            <w:vAlign w:val="bottom"/>
          </w:tcPr>
          <w:p>
            <w:pPr>
              <w:spacing w:after="0"/>
              <w:rPr>
                <w:sz w:val="14"/>
                <w:szCs w:val="14"/>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warrants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2,460,242</w:t>
            </w:r>
          </w:p>
        </w:tc>
        <w:tc>
          <w:tcPr>
            <w:tcW w:w="34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2,170,403</w:t>
            </w:r>
          </w:p>
        </w:tc>
        <w:tc>
          <w:tcPr>
            <w:tcW w:w="80" w:type="dxa"/>
            <w:vAlign w:val="bottom"/>
            <w:shd w:val="clear" w:color="auto" w:fill="CCEEFF"/>
          </w:tcPr>
          <w:p>
            <w:pPr>
              <w:spacing w:after="0"/>
              <w:rPr>
                <w:sz w:val="15"/>
                <w:szCs w:val="15"/>
                <w:color w:val="auto"/>
              </w:rPr>
            </w:pPr>
          </w:p>
        </w:tc>
      </w:tr>
      <w:tr>
        <w:trPr>
          <w:trHeight w:val="174"/>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25,085,732</w:t>
            </w:r>
          </w:p>
        </w:tc>
        <w:tc>
          <w:tcPr>
            <w:tcW w:w="340" w:type="dxa"/>
            <w:vAlign w:val="bottom"/>
          </w:tcPr>
          <w:p>
            <w:pPr>
              <w:spacing w:after="0"/>
              <w:rPr>
                <w:sz w:val="15"/>
                <w:szCs w:val="15"/>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18,675,799</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70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April 2025 Offering</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April 2025, the Company entered into a securities purchase agreement (the “2025 Securities Purchase Agreement”) with an institutional accredited investor, pursuant to which it issued 385,000 shares of Class A Common Stock, a pre-funded warrant to purchase up to 102,686 shares of Class A Common Stock and common stock warrants (the “Common Warrants”) to purchase up to 487,686 shares of the Company’s Class A Common Stock (together, the “April 2025 Offering”). The pre-funded warrant has an exercise price of $0.0001 per share and was immediately exercisable. The Common Warrants have an exercise price of $8.20, are currently exercisable and will expire on May 30, 2030. The net proceeds to the Company from the April 2025 Offering were $3,645, after payment of the placement agent’s fees of $355. During the year ended September 30, 2025, the investor fully exercised the pre-funded warrant for net proceeds to the Company of $0.</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In connection with the April 2025 Offering, the Company also amended the PIPE Common Warrants (see “</w:t>
      </w:r>
      <w:r>
        <w:rPr>
          <w:rFonts w:ascii="Times New Roman" w:cs="Times New Roman" w:eastAsia="Times New Roman" w:hAnsi="Times New Roman"/>
          <w:sz w:val="14"/>
          <w:szCs w:val="14"/>
          <w:i w:val="1"/>
          <w:iCs w:val="1"/>
          <w:color w:val="auto"/>
        </w:rPr>
        <w:t>July 2024 Private Placement</w:t>
      </w:r>
      <w:r>
        <w:rPr>
          <w:rFonts w:ascii="Times New Roman" w:cs="Times New Roman" w:eastAsia="Times New Roman" w:hAnsi="Times New Roman"/>
          <w:sz w:val="14"/>
          <w:szCs w:val="14"/>
          <w:color w:val="auto"/>
        </w:rPr>
        <w:t>,” below). The Company allocated the proceeds of the April 2025 Offering among the liability-classified warrants issued and amended based on their estimated fair values, with the remainder of the proceeds allocated to the shares of Class A Common Stock issued.</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also issued the placement agent warrants to purchase an aggregate of 68,276 shares of Class A Common Stock. These warrants have an exercise price of $8.202 per share, are currently exercisable and will expire on April 4, 2030. The Company allocated the transaction costs, including the fair value of the placement agent warrants, among the liability-classified and equity-classified securities issued in the April 2025 Offering. The portion of such costs allocated to liability-classified securities of $443 is included in “Financing costs expensed” in the consolidated statements of operations and comprehensive loss.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July 2024 Private Placement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July 2024, the Company entered into a securities purchase agreement (the “Securities Purchase Agreement”) with an institutional accredited investor, pursuant to which it issued a pre-funded warrant to purchase up to 287,769 shares of the Company’s Class A Common Stock and warrants to purchase an aggregate of 575,538 shares of the Company’s Class A Common Stock (“PIPE Common Warrants”). The Pre-Funded Warrant has an exercise price of $0.10 per share, is immediately exercisable upon issuance and will expire when exercised in full. The PIPE Common Warrants are comprised of Series A warrants to purchase up to 287,769 shares of Class A Common Stock (the “Series A Warrants”) and Series B warrants to purchase up to 287,769 shares of Class A Common Stock (the “Series B Warrants”). The PIPE Common Warrants initially had an exercise price of $13.90 per share, were exercisable beginning on the effective date of stockholder approval of the issuance of the shares of common stock upon exercise of the PIPE Common Warrants. The Series A Warrants will expire five years from the date of such stockholder approval and the Series B warrants will expire twelve months from the date of stockholder approval. Gross proceeds from the Private Placement were $4,000, before payment of fees and expenses to the placement agent of $415. During the year ended September 30, 2024, the investor fully exercised the pre-funded warrant, for net proceeds to the Company of $3.</w:t>
      </w:r>
    </w:p>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connection with the Private Placement, the Company issued the placement agent warrants to purchase an aggregate of 20,143 shares of its Class A Common Stock. The placement agent warrants have an exercise price of $17.375 per share, are exercisable upon stockholder approval and expire five years thereafter. Moreover, upon any exercise for cash of the PIPE Common Warrants, the Company is obligated to pay the placement agent cash fees aggregating 8% of the gross exercise price and issue to the placement agent warrants to purchase a number of shares of Common Stock equal to 7.0% of the aggregate number of such shares of Class A Common Stock underlying the PIPE Common Warrants.</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a result of these transactions, during the year ended September 30, 2024 the Company recognized a loss of $2,894, representing the excess of the fair value of Pre-Funded Warrants and the PIPE Common Warrants over the proceeds received, the fair value of the warrants issued to the placement agent and the fees and expenses paid to the placement agent, which is included in “Financing costs expensed” in the consolidated statements of operations and comprehensive loss. In connection with the April 2025 Offering, the Company amended the 575,538 then outstanding PIPE Common Warrants to reduce the exercise price from $13.90 per share to $8.202 per share. The Company also extended the term of the Series B warrants from January 3, 2026 to April 3, 2026. The term of the Series A Warrants remains unchanged and will expire on January 3, 2030. In September 2025, the Company further amended the remaining Series B Warrants, extending their expiration date to April 3, 2030 (see “</w:t>
      </w:r>
      <w:r>
        <w:rPr>
          <w:rFonts w:ascii="Times New Roman" w:cs="Times New Roman" w:eastAsia="Times New Roman" w:hAnsi="Times New Roman"/>
          <w:sz w:val="14"/>
          <w:szCs w:val="14"/>
          <w:i w:val="1"/>
          <w:iCs w:val="1"/>
          <w:color w:val="auto"/>
        </w:rPr>
        <w:t>Warrant Exercise Inducement</w:t>
      </w:r>
      <w:r>
        <w:rPr>
          <w:rFonts w:ascii="Times New Roman" w:cs="Times New Roman" w:eastAsia="Times New Roman" w:hAnsi="Times New Roman"/>
          <w:sz w:val="14"/>
          <w:szCs w:val="14"/>
          <w:color w:val="auto"/>
        </w:rPr>
        <w:t>,” below).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 Exercise Inducement</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September 2025, the Company entered into a warrant exercise inducement offer letter (the “Inducement Letter”) with a holder of outstanding warrants to purchase shares of the Company’s Class A Common Stock. Pursuant to the Inducement Letter, the holder exercised for cash warrants to purchase 548,646 shares of Class A Common Stock, consisting of (i) 148,495 shares underlying Series A Warrants, (ii) 148,495 shares underlying Series B Warrants and (iii) 251,656 shares underlying Common Warrants, each at the current exercise price of $8.202 per share. The Company received gross proceeds of approximately $4,500 from the exercise of these warrants. In connection with the warrant exercise inducement, the Company paid its financial advisor a cash placement fee of $315 and issued the financial advisor warrants to purchase up to 38,405 shares of its Class A Common Stock at an exercise price of $10.80 per share.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consideration for the holder’s agreement to exercise the warrants for cash, the Company agreed to issue to the holder new warrants (the “Inducement Warrants”) to purchase up to an aggregate of 822,970 shares of its Class A Common Stock at an exercise price of $10.80 per share. The Inducement Warrants will become exercisable upon stockholder approval and will expire five years thereafter. The Company also amended the remaining Series B Warrants, extending their expiration date to April 3, 2030. As a result of these transactions, during the year ended September 30, 2025 the Company recognized a non-cash loss of $6,458, representing the estimated fair value of the Inducement Warrants as of the date of issuance, the increase in the estimated fair value of the remaining Series B Warrants resulting from their amendment and the fair value of the warrants issued to the financial advisor, which is included in “Financing costs expensed” in the consolidated statements of operations and comprehensive loss.</w:t>
      </w:r>
    </w:p>
    <w:p>
      <w:pPr>
        <w:spacing w:after="0" w:line="14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 determined that the warrants issued to the placement agent and the financial advisor for services rendered in the transactions discussed above met the criteria for classification as equity. The grant date fair value of each of these warrants was accounted for as part of the costs of the respective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Warrants and Private Warrants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connection with the Merger, the Company assumed 6,000,000 Public Warrants and 3,000,000 Private Warrants issued by Chavant in connection with its initial public offering, each of which entitles the holder to purchase one share of the Company’s Class A Common Stock. The Public Warrants and Private Warrants are exercisable at any time through December 21, 2028. The Company may redeem the Public Warrants at a price of $0.01 per warrant if the last reported sale of the Company’s Class A Common Stock equals or exceeds $180.00 per share for any twenty trading days within a thirty-day period. The Private Warrants are identical to the Public Warrants, except that the Private Warrants are exercisable on a cashless basis and are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At the time of Closing, the Company estimated the aggregate fair value of the Private Warrants and recognized a liability of $150.</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Both the Public Warrants and Private Warrants were subject to adjustment if the Company issued additional equity securities below specified levels in connection with the Merger. As a result of the issuances of shares under the PIPE Subscription Agreement and other agreements in connection with the Merger, the Company adjusted the exercise price of the warrants from $115.00 to $57.90 per share and adjusted the redemption trigger price from $180.00 to $90.60 per share. During the year ended September 30, 2024, the Company recognized a noncash deemed dividend of $661 as a result of the warrant price adjustment.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PIPE Warrants</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connection with the PIPE Subscription Agreements, the Company issued the investors warrants to purchase shares of Class A Common Stock at an exercise price of $0.10 per share. The Company evaluated these warrants and concluded that they meet the derivative scope exception for contracts in the Company’s own stock. Consequently, the PIPE warrants were recorded in stockholders’ equity. During the year ended September 30, 2025, 1,500,000 PIPE warrants were exercised, for net proceeds of $15.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Warrants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During the year ended September 30, 2024, the Company issued warrants to purchase 13,000 shares of its Class A Common Stock at $0.10 per share to a service provider, in respect of services rendered to Legacy Mobix prior to the Merger. In addition, as described in Note 10,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during the year ended September 30, 2024 Legacy Mobix failed to repay the principal amount of a note payable by its maturity date and was obligated to issue warrants to purchase 10,300 shares of its Class A Common Stock at $0.10 per share to the lender as additional consideration. The Company initially recorded a liability of $732 in the consolidated balance sheets for the estimated fair value of the warrants. For the year ended September 30, 2024, the Company recognized a non-cash gain of $400 from the change in the fair value of the liability, which is included in “Other non-operating losses, net” in the consolidated statements of operations and comprehensive loss. The Company valued the warrants using a probability-weighted expected return model. In April 2024, the Company issued the warrants to the lender, and the lender exercised the warrants.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4" w:right="31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Legacy Mobix Warrants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In connection with the Merger, all of Legacy Mobix’s outstanding warrants were assumed by the Company and converted into the same number of warrants to purchase shares of the Company’s Class A Common Stock, with no change to their exercise prices or other terms. Subsequent to the Merger, warrants to purchase an aggregate of 37,303 shares were exercised and converted into 36,967 shares of Class A Common Stock, with no cash proceeds to the Company. During the year ended September 30, 2024, Legacy Mobix granted warrants to purchase an aggregate of 2,741 shares of common stock at a price of $0.10 per share to investors in connection with the sale of shares of its common stock. See Note 14,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for Liability-Classified Warrants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evaluated all common stock warrants at the time of issuance (or at the Closing) and concluded that the Private Warrants, Pre-Funded Warrants, PIPE Common Warrants, Common Warrants, Inducement Warrants and do not meet the derivative scope exception. Specifically, these warrants contain provisions that affect their settlement amounts which are not inputs into the pricing of a fixed-for-fixed option on equity shares. Therefore, these warrants are not considered indexed to the Company’s stock and must be classified as liabilities. At their respective dates of issuance (or, in the case of the Private Warrants, at the time of the Merger), the Company recognized a liability for each of the warrants in the amount of their estimated fair value using the Black-Scholes option-pricing model. The Company subsequently adjusted the carrying amount of the liability for each warrant to its estimated fair value as of September 30, 2025 and 2024 (or through the warrants’ respective dates of exercise, if earlier). As a result of changes in the fair value of the warrants, for the years ended September 30, 2025 and 2024, the Company recognized net non-cash gains of $804 and $1,415, respectively, which are included in “Change in fair value of warrants” in the consolidated statements of operations and comprehensive loss. As of September 30, 2025 and 2024, the related liabilities of $6,859 and $2,139, respectively, are included in “Other noncurrent liabilities” in the consolidated balance sheets.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Note 17,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for additional information on the Company’s measurements with respect to liability-classified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Stock-Based Compensation</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connection with the Merger, the Company adopted the 2023 Equity Incentive Plan, which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September 30, 2025, 256,089 shares of the Company’s Class A Common Stock are available for the grant of awards under the 2023 Equity Incentive Plan.</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Also in connection with the Merger, the Company adopted the 2023 Employee Stock Purchase Plan to assist eligible employees in acquiring stock ownership in the Company and the Company reserved 68,705 shares of its Class A Common Stock for issuance under the plan. As of September 30, 2025, the Company had not commenced any offering period nor sold any shares under this plan.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connection with the Merger, all of Legacy Mobix’s RSUs were assumed by the Company and converted into an RSU covering the same number of shares of the Company’s Class A Common Stock.</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As of September 30, 2023, the Company had committed to issue to certain officers and key employees, contingent upon closing of the Merger, an aggregate of 500,000 RSUs (of which 100,000 were modified to warrants to purchase shares of the Company’s Class A Common Stock upon the holder’s termination of employment) over three years, beginning on the first anniversary of the Closing of the Merger. Because the vesting of these awards was subject to both a service condition and a performance condition (the completion of the Merger), the Company initially determined that vesting of the awards was not probable and did not recognize any stock-based compensation expense for these awards prior to the Closing. Upon Closing, the performance condition was satisfied, and vesting of the awards is subject only to a service condition. As a result, the Company is required to recognize the value of these awards over the requisite service period. During the year ended September 30, 2024, the Company recognized a catch-up for the portion of the service period completed prior to the performance condition being satisfied and is recognizing the remainder of the cost over the remaining service period.</w:t>
      </w:r>
    </w:p>
    <w:p>
      <w:pPr>
        <w:spacing w:after="0" w:line="1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Also during the year ended September 30, 2024, in connection with a separation of employment, the Company modified 100,000 RSUs held by an employee such that the RSUs—which were subject to forfeiture under their original terms—would continue to vest over their original service period. Because the fair value of the modified awards was lower than the grant-date fair value of the original awards, the Company recognized a $2,242 reduction of stock-based compensation expense during the year ended September 30, 2024.</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During the year ended September 30, 2025, the Company and a former employee entered into certain agreements wherein the Company agreed to accelerate the vesting of 99,999 common stock warrants and grant the holder an additional 25,000 common stock warrants. The warrants are immediately exercisable and have an exercise price of $0.10 per share. Subsequently, the Company agreed to cancel 45,000 of these common stock warrants and replace them with the same number of fully vested RSUs. As a result of the acceleration of vesting and the grant of the warrants, during the year ended September 30, 2025 the Company recognized additional stock-based compensation expense of $6,917.</w:t>
      </w:r>
    </w:p>
    <w:p>
      <w:pPr>
        <w:sectPr>
          <w:pgSz w:w="11900" w:h="16838" w:orient="portrait"/>
          <w:cols w:equalWidth="0" w:num="1">
            <w:col w:w="11280"/>
          </w:cols>
          <w:pgMar w:left="300" w:top="575" w:right="319" w:bottom="1440" w:gutter="0" w:footer="0" w:header="0"/>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activity in the Company’s RSUs for the year ended September 30, 2025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Outstanding at September 30, 2024</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092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1092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Forfeited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260" cy="1162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1162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Outstanding at September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2"/>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2"/>
        </w:trPr>
        <w:tc>
          <w:tcPr>
            <w:tcW w:w="1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2"/>
        </w:trPr>
        <w:tc>
          <w:tcPr>
            <w:tcW w:w="226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4"/>
                <w:szCs w:val="14"/>
                <w:color w:val="auto"/>
              </w:rPr>
            </w:pPr>
          </w:p>
        </w:tc>
        <w:tc>
          <w:tcPr>
            <w:tcW w:w="158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88"/>
        </w:trPr>
        <w:tc>
          <w:tcPr>
            <w:tcW w:w="2260" w:type="dxa"/>
            <w:vAlign w:val="bottom"/>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40" w:type="dxa"/>
            <w:vAlign w:val="bottom"/>
          </w:tcPr>
          <w:p>
            <w:pPr>
              <w:spacing w:after="0"/>
              <w:rPr>
                <w:sz w:val="16"/>
                <w:szCs w:val="16"/>
                <w:color w:val="auto"/>
              </w:rPr>
            </w:pPr>
          </w:p>
        </w:tc>
        <w:tc>
          <w:tcPr>
            <w:tcW w:w="158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per Unit</w:t>
            </w:r>
          </w:p>
        </w:tc>
      </w:tr>
      <w:tr>
        <w:trPr>
          <w:trHeight w:val="321"/>
        </w:trPr>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446,318</w:t>
            </w:r>
          </w:p>
        </w:tc>
        <w:tc>
          <w:tcPr>
            <w:tcW w:w="340" w:type="dxa"/>
            <w:vAlign w:val="bottom"/>
          </w:tcPr>
          <w:p>
            <w:pPr>
              <w:spacing w:after="0"/>
              <w:rPr>
                <w:sz w:val="24"/>
                <w:szCs w:val="24"/>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79.30</w:t>
            </w:r>
          </w:p>
        </w:tc>
      </w:tr>
      <w:tr>
        <w:trPr>
          <w:trHeight w:val="172"/>
        </w:trPr>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1,103,679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r>
      <w:tr>
        <w:trPr>
          <w:trHeight w:val="172"/>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(4,813)</w:t>
            </w:r>
          </w:p>
        </w:tc>
        <w:tc>
          <w:tcPr>
            <w:tcW w:w="3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w:t>
            </w:r>
          </w:p>
        </w:tc>
      </w:tr>
      <w:tr>
        <w:trPr>
          <w:trHeight w:val="197"/>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(590,622)</w:t>
            </w:r>
          </w:p>
        </w:tc>
        <w:tc>
          <w:tcPr>
            <w:tcW w:w="3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r>
      <w:tr>
        <w:trPr>
          <w:trHeight w:val="174"/>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954,562</w:t>
            </w:r>
          </w:p>
        </w:tc>
        <w:tc>
          <w:tcPr>
            <w:tcW w:w="34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42.11</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2">
            <w:col w:w="6280" w:space="720"/>
            <w:col w:w="4280"/>
          </w:cols>
          <w:pgMar w:left="300" w:top="575"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Unrecognized compensation expense related to RSUs was $14,066 as of September 30, 2025 and is expected to be recognized over a weighted-average period of 2.0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Awards</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During the year ended September 30, 2025, the Company granted restricted stock awards (“RSAs”) for a total of 510,000 shares of the Company’s Class A Common Stock to two officers and directors of the Company. The restricted stock awards were made pursuant to separate award agreements between the Company and each of the recipients. One RSA will vest in specified quarterly amounts from July 2025 through July 2028; the other RSA will vest over a two-year period and can be accelerated if certain stock price thresholds are met.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type w:val="continuous"/>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 summary of activity in the Company’s RSAs for the year ended September 30, 2025 is as follows:</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38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38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98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September 30, 2024</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Issued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510,000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(22,750)</w:t>
            </w:r>
          </w:p>
        </w:tc>
        <w:tc>
          <w:tcPr>
            <w:tcW w:w="34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at September 30, 2025</w:t>
            </w:r>
          </w:p>
        </w:tc>
        <w:tc>
          <w:tcPr>
            <w:tcW w:w="13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487,250</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Unrecognized compensation expense related to RSAs was $2,855 as of September 30, 2025 and is expected to be recognized over a weighted-average period of 2.0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Stock options granted under the Company’s equity incentive plan may be Incentive Stock Options (“ISOs”) or Non-Statutory Stock Options (“NSOs”). ISOs may be granted only to employees and NSOs may be granted to employees and consultants. The types of awards granted to consultants do not vary in characteristics from those granted to employees. The term of each option, which is stated in each option agreement, cannot exceed ten years from the date of grant. The exercise price is determined by the Company’s board of directors. If granted to an employee (other than employee who owns stock representing more than 10% of the voting power of all classes of stock), the option exercise price cannot be less than the fair market value of the stock on the date of grant as determined by the Company’s board of directors. Vesting requirements for options granted under the plans are determined by the board of directors. Stock option awards generally vest over periods of one to four years. Certain awards require the performance of one year of service before vesting commences, with a specified percentage of the award vesting after one year of service, and the remainder vesting ratably over the remaining vesting period.</w:t>
      </w:r>
    </w:p>
    <w:p>
      <w:pPr>
        <w:spacing w:after="0" w:line="147"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In connection with the Merger, all Legacy Mobix stock options were assumed by the Company and converted into the same number of stock options of the Company, with no change to their exercise prices, vesting conditions or other terms.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option activity for the year ended September 30, 2025 is as follows: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29"/>
        </w:trPr>
        <w:tc>
          <w:tcPr>
            <w:tcW w:w="6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72"/>
        </w:trPr>
        <w:tc>
          <w:tcPr>
            <w:tcW w:w="6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2"/>
        </w:trPr>
        <w:tc>
          <w:tcPr>
            <w:tcW w:w="6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left="291"/>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72"/>
        </w:trPr>
        <w:tc>
          <w:tcPr>
            <w:tcW w:w="6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r>
      <w:tr>
        <w:trPr>
          <w:trHeight w:val="172"/>
        </w:trPr>
        <w:tc>
          <w:tcPr>
            <w:tcW w:w="6100" w:type="dxa"/>
            <w:vAlign w:val="bottom"/>
          </w:tcPr>
          <w:p>
            <w:pPr>
              <w:spacing w:after="0"/>
              <w:rPr>
                <w:sz w:val="14"/>
                <w:szCs w:val="14"/>
                <w:color w:val="auto"/>
              </w:rPr>
            </w:pPr>
          </w:p>
        </w:tc>
        <w:tc>
          <w:tcPr>
            <w:tcW w:w="16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4"/>
                <w:szCs w:val="14"/>
                <w:color w:val="auto"/>
              </w:rPr>
            </w:pPr>
          </w:p>
        </w:tc>
        <w:tc>
          <w:tcPr>
            <w:tcW w:w="18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w:t>
            </w:r>
          </w:p>
        </w:tc>
      </w:tr>
      <w:tr>
        <w:trPr>
          <w:trHeight w:val="188"/>
        </w:trPr>
        <w:tc>
          <w:tcPr>
            <w:tcW w:w="6100" w:type="dxa"/>
            <w:vAlign w:val="bottom"/>
          </w:tcPr>
          <w:p>
            <w:pPr>
              <w:spacing w:after="0"/>
              <w:rPr>
                <w:sz w:val="16"/>
                <w:szCs w:val="16"/>
                <w:color w:val="auto"/>
              </w:rPr>
            </w:pPr>
          </w:p>
        </w:tc>
        <w:tc>
          <w:tcPr>
            <w:tcW w:w="100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left="311"/>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164"/>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September 30, 2024</w:t>
            </w:r>
          </w:p>
        </w:tc>
        <w:tc>
          <w:tcPr>
            <w:tcW w:w="10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274,063</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971"/>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5"/>
              </w:rPr>
              <w:t>48.90</w:t>
            </w:r>
          </w:p>
        </w:tc>
        <w:tc>
          <w:tcPr>
            <w:tcW w:w="34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72"/>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Forfeited</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(7,154)</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60.30</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Expired</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(21,691)</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49.20</w:t>
            </w: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4"/>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Outstanding at September 30, 2025</w:t>
            </w:r>
          </w:p>
        </w:tc>
        <w:tc>
          <w:tcPr>
            <w:tcW w:w="10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245,218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48.50</w:t>
            </w:r>
          </w:p>
        </w:tc>
        <w:tc>
          <w:tcPr>
            <w:tcW w:w="156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w:t>
            </w:r>
          </w:p>
        </w:tc>
      </w:tr>
      <w:tr>
        <w:trPr>
          <w:trHeight w:val="144"/>
        </w:trPr>
        <w:tc>
          <w:tcPr>
            <w:tcW w:w="6100" w:type="dxa"/>
            <w:vAlign w:val="bottom"/>
            <w:tcBorders>
              <w:bottom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Exercisable at September 30, 2025</w:t>
            </w:r>
          </w:p>
        </w:tc>
        <w:tc>
          <w:tcPr>
            <w:tcW w:w="10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w w:val="96"/>
              </w:rPr>
              <w:t>233,102</w:t>
            </w:r>
          </w:p>
        </w:tc>
        <w:tc>
          <w:tcPr>
            <w:tcW w:w="2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47.50</w:t>
            </w:r>
          </w:p>
        </w:tc>
        <w:tc>
          <w:tcPr>
            <w:tcW w:w="1560" w:type="dxa"/>
            <w:vAlign w:val="bottom"/>
            <w:tcBorders>
              <w:bottom w:val="single" w:sz="8" w:color="CCEEFF"/>
            </w:tcBorders>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5.8</w:t>
            </w:r>
          </w:p>
        </w:tc>
      </w:tr>
      <w:tr>
        <w:trPr>
          <w:trHeight w:val="20"/>
        </w:trPr>
        <w:tc>
          <w:tcPr>
            <w:tcW w:w="6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Unrecognized stock-based compensation expense related to stock options, totaling $399 as of September 30, 2025, is expected to be recognized over a weighted-average period of 1.1 years. The aggregate intrinsic value of stock options outstanding and stock options exercisable as of September 30, 2025 was $414 and $414, respectively. The total intrinsic value of options exercised during the year ended September 30, 2024 was $4,709. The total fair value of options that vested during the years ended September 30, 2025 and 2024 was $593 and $1,726,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weighted-average grant date fair value of options granted during the year ended September 30, 2024 was $35.00. The fair value of stock options granted was estimated with the following assumptions: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Range</w:t>
            </w: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3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Low</w:t>
            </w: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3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130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3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Expected term (years)</w:t>
            </w:r>
          </w:p>
        </w:tc>
        <w:tc>
          <w:tcPr>
            <w:tcW w:w="130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consolidated statements of operations and comprehensive loss include stock-based compensation expense as follows:</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3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 – product</w:t>
            </w:r>
          </w:p>
        </w:tc>
        <w:tc>
          <w:tcPr>
            <w:tcW w:w="1300" w:type="dxa"/>
            <w:vAlign w:val="bottom"/>
            <w:shd w:val="clear" w:color="auto" w:fill="CCEEFF"/>
          </w:tcPr>
          <w:p>
            <w:pPr>
              <w:jc w:val="right"/>
              <w:ind w:right="11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174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 – services</w:t>
            </w:r>
          </w:p>
        </w:tc>
        <w:tc>
          <w:tcPr>
            <w:tcW w:w="1300" w:type="dxa"/>
            <w:vAlign w:val="bottom"/>
          </w:tcPr>
          <w:p>
            <w:pPr>
              <w:spacing w:after="0"/>
              <w:rPr>
                <w:sz w:val="14"/>
                <w:szCs w:val="14"/>
                <w:color w:val="auto"/>
              </w:rPr>
            </w:pP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3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338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300" w:type="dxa"/>
            <w:vAlign w:val="bottom"/>
          </w:tcPr>
          <w:p>
            <w:pPr>
              <w:spacing w:after="0"/>
              <w:rPr>
                <w:sz w:val="15"/>
                <w:szCs w:val="15"/>
                <w:color w:val="auto"/>
              </w:rPr>
            </w:pP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25,098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20,244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300" w:type="dxa"/>
            <w:vAlign w:val="bottom"/>
            <w:tcBorders>
              <w:top w:val="single" w:sz="8" w:color="auto"/>
              <w:bottom w:val="single" w:sz="8" w:color="auto"/>
            </w:tcBorders>
            <w:shd w:val="clear" w:color="auto" w:fill="CCEEFF"/>
          </w:tcPr>
          <w:p>
            <w:pPr>
              <w:jc w:val="right"/>
              <w:ind w:right="11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25,619</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Fair Value Measurements</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carrying amounts of the Company’s cash, accounts receivable and accounts payable approximate their fair value due to the short-term nature of these instruments. The Company believes the aggregate carrying value of debt approximates its fair value as of September 30, 2025 and 2024 due to the relatively short duration of the notes payable, the 7% promissory notes - related parties and the notes payable - related parties.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Hierarchy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Liabilities measured at fair value on a recurring basis as of September 30, 2025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74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Earnout liability</w:t>
            </w:r>
          </w:p>
        </w:tc>
        <w:tc>
          <w:tcPr>
            <w:tcW w:w="106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6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Liability-classified warrants</w:t>
            </w:r>
          </w:p>
        </w:tc>
        <w:tc>
          <w:tcPr>
            <w:tcW w:w="1060" w:type="dxa"/>
            <w:vAlign w:val="bottom"/>
          </w:tcPr>
          <w:p>
            <w:pPr>
              <w:spacing w:after="0"/>
              <w:rPr>
                <w:sz w:val="15"/>
                <w:szCs w:val="15"/>
                <w:color w:val="auto"/>
              </w:rPr>
            </w:pP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5"/>
                <w:szCs w:val="15"/>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6,859</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6,859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60" w:type="dxa"/>
            <w:vAlign w:val="bottom"/>
            <w:tcBorders>
              <w:top w:val="single" w:sz="8" w:color="auto"/>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8,099</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classifies the earnout liability, the PIPE make-whole liability and the liability-classified warrants and the SAFEs as Level 3 financial instruments due to the judgment required to develop the assumptions used and the significance of those assumptions to the fair value measurement. No financial instruments were transferred between levels of the fair value hierarchy during the years ended September 30, 2025 or 2024.</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the balance of financial instruments measured at fair value on a recurring basis using Level 3 inputs:</w:t>
            </w: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4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PIPE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Earnout</w:t>
            </w:r>
          </w:p>
        </w:tc>
        <w:tc>
          <w:tcPr>
            <w:tcW w:w="160" w:type="dxa"/>
            <w:vAlign w:val="bottom"/>
          </w:tcPr>
          <w:p>
            <w:pPr>
              <w:spacing w:after="0"/>
              <w:rPr>
                <w:sz w:val="14"/>
                <w:szCs w:val="14"/>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Liability Classified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Make-Whole</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40" w:type="dxa"/>
            <w:vAlign w:val="bottom"/>
          </w:tcPr>
          <w:p>
            <w:pPr>
              <w:spacing w:after="0"/>
              <w:rPr>
                <w:sz w:val="16"/>
                <w:szCs w:val="16"/>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SAFEs</w:t>
            </w:r>
          </w:p>
        </w:tc>
        <w:tc>
          <w:tcPr>
            <w:tcW w:w="0" w:type="dxa"/>
            <w:vAlign w:val="bottom"/>
          </w:tcPr>
          <w:p>
            <w:pPr>
              <w:spacing w:after="0"/>
              <w:rPr>
                <w:sz w:val="1"/>
                <w:szCs w:val="1"/>
                <w:color w:val="auto"/>
              </w:rPr>
            </w:pPr>
          </w:p>
        </w:tc>
      </w:tr>
      <w:tr>
        <w:trPr>
          <w:trHeight w:val="164"/>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2023</w:t>
            </w:r>
          </w:p>
        </w:tc>
        <w:tc>
          <w:tcPr>
            <w:tcW w:w="10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Liabilities recognized in the Merger</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33,559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2,071</w:t>
            </w:r>
          </w:p>
        </w:tc>
        <w:tc>
          <w:tcPr>
            <w:tcW w:w="2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 of warrants in the July 2024 Private Placement</w:t>
            </w: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6,397</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Other warrants issued</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732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to Class A Common Stock in the Merger</w:t>
            </w: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(1,522)</w:t>
            </w:r>
          </w:p>
        </w:tc>
        <w:tc>
          <w:tcPr>
            <w:tcW w:w="0" w:type="dxa"/>
            <w:vAlign w:val="bottom"/>
          </w:tcPr>
          <w:p>
            <w:pPr>
              <w:spacing w:after="0"/>
              <w:rPr>
                <w:sz w:val="1"/>
                <w:szCs w:val="1"/>
                <w:color w:val="auto"/>
              </w:rPr>
            </w:pPr>
          </w:p>
        </w:tc>
      </w:tr>
      <w:tr>
        <w:trPr>
          <w:trHeight w:val="172"/>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Exercise of warrants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(3,393)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Settlement of liability</w:t>
            </w: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(332)</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(1,241)</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included in net loss</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(31,879)</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(1,415)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(830)</w:t>
            </w:r>
          </w:p>
        </w:tc>
        <w:tc>
          <w:tcPr>
            <w:tcW w:w="2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4"/>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2024</w:t>
            </w:r>
          </w:p>
        </w:tc>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Sale of warrants in the April 2025 Offering</w:t>
            </w: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12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2,853</w:t>
            </w:r>
          </w:p>
        </w:tc>
        <w:tc>
          <w:tcPr>
            <w:tcW w:w="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inducement warrants</w:t>
            </w: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5,699</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Modification of warrants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1,214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warrants</w:t>
            </w: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(4,242)</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included in net loss</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(440)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(804)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2025</w:t>
            </w:r>
          </w:p>
        </w:tc>
        <w:tc>
          <w:tcPr>
            <w:tcW w:w="10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Liability-Classified Warrants</w:t>
      </w:r>
    </w:p>
    <w:p>
      <w:pPr>
        <w:spacing w:after="0" w:line="18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 xml:space="preserve">The Company estimates the fair value of liability classified warrants, other than the Private Warrants, using the Black-Scholes option pricing model, as described above under Note 2 — </w:t>
      </w:r>
      <w:r>
        <w:rPr>
          <w:rFonts w:ascii="Times New Roman" w:cs="Times New Roman" w:eastAsia="Times New Roman" w:hAnsi="Times New Roman"/>
          <w:sz w:val="14"/>
          <w:szCs w:val="14"/>
          <w:i w:val="1"/>
          <w:iCs w:val="1"/>
          <w:color w:val="auto"/>
        </w:rPr>
        <w:t>Summary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of Significant Accounting Policies—Stock-Based Compensation. </w:t>
      </w:r>
      <w:r>
        <w:rPr>
          <w:rFonts w:ascii="Times New Roman" w:cs="Times New Roman" w:eastAsia="Times New Roman" w:hAnsi="Times New Roman"/>
          <w:sz w:val="14"/>
          <w:szCs w:val="14"/>
          <w:color w:val="auto"/>
        </w:rPr>
        <w:t>The following table summarizes the assumptions used in estimating the fair value of liability-classified warrants at the respective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dates: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3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8.06</w:t>
            </w:r>
          </w:p>
        </w:tc>
        <w:tc>
          <w:tcPr>
            <w:tcW w:w="5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79.0%</w:t>
            </w:r>
          </w:p>
        </w:tc>
        <w:tc>
          <w:tcPr>
            <w:tcW w:w="5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2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w:t>
            </w:r>
          </w:p>
        </w:tc>
        <w:tc>
          <w:tcPr>
            <w:tcW w:w="5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 3.9%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w:t>
            </w:r>
          </w:p>
        </w:tc>
        <w:tc>
          <w:tcPr>
            <w:tcW w:w="2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4.3 – 4.9 years</w:t>
            </w:r>
          </w:p>
        </w:tc>
        <w:tc>
          <w:tcPr>
            <w:tcW w:w="54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 – 5.1 years</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estimates the fair value of the Private Warrants based on quoted market prices for the Public Warrants, which have substantially the same economic characteristics.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Earnout Liability</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 estimates the fair value of the earnout liability using a Monte Carlo simulation model that utilizes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40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price</w:t>
            </w:r>
          </w:p>
        </w:tc>
        <w:tc>
          <w:tcPr>
            <w:tcW w:w="4200" w:type="dxa"/>
            <w:vAlign w:val="bottom"/>
            <w:gridSpan w:val="2"/>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8.06</w:t>
            </w:r>
          </w:p>
        </w:tc>
        <w:tc>
          <w:tcPr>
            <w:tcW w:w="5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80%</w:t>
            </w:r>
          </w:p>
        </w:tc>
        <w:tc>
          <w:tcPr>
            <w:tcW w:w="54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rate</w:t>
            </w:r>
          </w:p>
        </w:tc>
        <w:tc>
          <w:tcPr>
            <w:tcW w:w="29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3.8%</w:t>
            </w:r>
          </w:p>
        </w:tc>
        <w:tc>
          <w:tcPr>
            <w:tcW w:w="5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Contractual term</w:t>
            </w:r>
          </w:p>
        </w:tc>
        <w:tc>
          <w:tcPr>
            <w:tcW w:w="2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6.2 years</w:t>
            </w:r>
          </w:p>
        </w:tc>
        <w:tc>
          <w:tcPr>
            <w:tcW w:w="54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 years</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Net Loss Per Share</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spacing w:after="0" w:line="1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the PIPE make-whole liability and the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Basic net loss per share:</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Numerator:</w:t>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Allocation of net loss</w:t>
      </w:r>
    </w:p>
    <w:p>
      <w:pPr>
        <w:spacing w:after="0" w:line="11" w:lineRule="exact"/>
        <w:rPr>
          <w:sz w:val="20"/>
          <w:szCs w:val="20"/>
          <w:color w:val="auto"/>
        </w:rPr>
      </w:pPr>
    </w:p>
    <w:p>
      <w:pPr>
        <w:ind w:left="300"/>
        <w:spacing w:after="0" w:line="264" w:lineRule="auto"/>
        <w:rPr>
          <w:sz w:val="20"/>
          <w:szCs w:val="20"/>
          <w:color w:val="auto"/>
        </w:rPr>
      </w:pPr>
      <w:r>
        <w:rPr>
          <w:rFonts w:ascii="Times New Roman" w:cs="Times New Roman" w:eastAsia="Times New Roman" w:hAnsi="Times New Roman"/>
          <w:sz w:val="14"/>
          <w:szCs w:val="14"/>
          <w:color w:val="auto"/>
        </w:rPr>
        <w:t>Deemed dividend from warrant price adjustment Net loss available to common</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stockholders</w:t>
      </w:r>
    </w:p>
    <w:p>
      <w:pPr>
        <w:spacing w:after="0" w:line="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Denominator:</w:t>
      </w:r>
    </w:p>
    <w:p>
      <w:pPr>
        <w:spacing w:after="0" w:line="11" w:lineRule="exact"/>
        <w:rPr>
          <w:sz w:val="20"/>
          <w:szCs w:val="20"/>
          <w:color w:val="auto"/>
        </w:rPr>
      </w:pPr>
    </w:p>
    <w:p>
      <w:pPr>
        <w:ind w:left="440" w:right="640" w:hanging="143"/>
        <w:spacing w:after="0" w:line="289" w:lineRule="auto"/>
        <w:rPr>
          <w:sz w:val="20"/>
          <w:szCs w:val="20"/>
          <w:color w:val="auto"/>
        </w:rPr>
      </w:pPr>
      <w:r>
        <w:rPr>
          <w:rFonts w:ascii="Times New Roman" w:cs="Times New Roman" w:eastAsia="Times New Roman" w:hAnsi="Times New Roman"/>
          <w:sz w:val="14"/>
          <w:szCs w:val="14"/>
          <w:color w:val="auto"/>
        </w:rPr>
        <w:t>Weighted-average shares outstanding Basic net loss per share</w:t>
      </w:r>
    </w:p>
    <w:p>
      <w:pPr>
        <w:spacing w:after="0" w:line="20" w:lineRule="exact"/>
        <w:rPr>
          <w:sz w:val="20"/>
          <w:szCs w:val="20"/>
          <w:color w:val="auto"/>
        </w:rPr>
      </w:pPr>
      <w:r>
        <w:rPr>
          <w:sz w:val="20"/>
          <w:szCs w:val="20"/>
          <w:color w:val="auto"/>
        </w:rPr>
        <w:br w:type="column"/>
      </w:r>
    </w:p>
    <w:p>
      <w:pPr>
        <w:jc w:val="center"/>
        <w:ind w:right="3380"/>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ind w:right="33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ind w:right="338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7" w:lineRule="exact"/>
        <w:rPr>
          <w:sz w:val="20"/>
          <w:szCs w:val="20"/>
          <w:color w:val="auto"/>
        </w:rPr>
      </w:pPr>
    </w:p>
    <w:tbl>
      <w:tblPr>
        <w:tblLayout w:type="fixed"/>
        <w:tblInd w:w="18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40" w:type="dxa"/>
            <w:vAlign w:val="bottom"/>
            <w:gridSpan w:val="2"/>
          </w:tcPr>
          <w:p>
            <w:pPr>
              <w:spacing w:after="0"/>
              <w:rPr>
                <w:sz w:val="15"/>
                <w:szCs w:val="15"/>
                <w:color w:val="auto"/>
              </w:rPr>
            </w:pPr>
          </w:p>
        </w:tc>
      </w:tr>
      <w:tr>
        <w:trPr>
          <w:trHeight w:val="493"/>
        </w:trPr>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(44,072)</w:t>
            </w: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(2,059)</w:t>
            </w:r>
          </w:p>
        </w:tc>
        <w:tc>
          <w:tcPr>
            <w:tcW w:w="3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(18,452)</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(1,582)</w:t>
            </w:r>
          </w:p>
        </w:tc>
      </w:tr>
      <w:tr>
        <w:trPr>
          <w:trHeight w:val="197"/>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(609)</w:t>
            </w:r>
          </w:p>
        </w:tc>
        <w:tc>
          <w:tcPr>
            <w:tcW w:w="24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4"/>
        </w:trPr>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color w:val="auto"/>
              </w:rPr>
              <w:t>(44,072)</w:t>
            </w: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(2,059)</w:t>
            </w:r>
          </w:p>
        </w:tc>
        <w:tc>
          <w:tcPr>
            <w:tcW w:w="3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(19,061)</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(1,634)</w:t>
            </w:r>
          </w:p>
        </w:tc>
      </w:tr>
      <w:tr>
        <w:trPr>
          <w:trHeight w:val="35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4,343,588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202,921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2,617,527</w:t>
            </w:r>
          </w:p>
        </w:tc>
        <w:tc>
          <w:tcPr>
            <w:tcW w:w="24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224,431</w:t>
            </w:r>
          </w:p>
        </w:tc>
        <w:tc>
          <w:tcPr>
            <w:tcW w:w="2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32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3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4"/>
              </w:rPr>
              <w:t>)</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(7.28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-2154555</wp:posOffset>
            </wp:positionH>
            <wp:positionV relativeFrom="paragraph">
              <wp:posOffset>-1037590</wp:posOffset>
            </wp:positionV>
            <wp:extent cx="7160260" cy="1162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11620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-812165</wp:posOffset>
            </wp:positionV>
            <wp:extent cx="7160260" cy="1092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109220"/>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-586740</wp:posOffset>
            </wp:positionV>
            <wp:extent cx="7160260" cy="2184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218440"/>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-259080</wp:posOffset>
            </wp:positionV>
            <wp:extent cx="7160260" cy="1162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1162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080" w:space="320"/>
            <w:col w:w="7880"/>
          </w:cols>
          <w:pgMar w:left="300" w:top="575" w:right="319" w:bottom="1440" w:gutter="0" w:footer="0" w:header="0"/>
        </w:sectPr>
      </w:pPr>
    </w:p>
    <w:tbl>
      <w:tblPr>
        <w:tblLayout w:type="fixed"/>
        <w:tblInd w:w="0" w:type="dxa"/>
        <w:tblCellMar>
          <w:top w:w="0" w:type="dxa"/>
          <w:left w:w="0" w:type="dxa"/>
          <w:bottom w:w="0" w:type="dxa"/>
          <w:right w:w="0" w:type="dxa"/>
        </w:tblCellMar>
      </w:tblPr>
      <w:tr>
        <w:trPr>
          <w:trHeight w:val="152"/>
        </w:trPr>
        <w:tc>
          <w:tcPr>
            <w:tcW w:w="5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2"/>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Diluted net loss per share:</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Numerator:</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7"/>
        </w:trPr>
        <w:tc>
          <w:tcPr>
            <w:tcW w:w="5060" w:type="dxa"/>
            <w:vAlign w:val="bottom"/>
          </w:tcPr>
          <w:p>
            <w:pPr>
              <w:ind w:left="300"/>
              <w:spacing w:after="0" w:line="157" w:lineRule="exact"/>
              <w:rPr>
                <w:sz w:val="20"/>
                <w:szCs w:val="20"/>
                <w:color w:val="auto"/>
              </w:rPr>
            </w:pPr>
            <w:r>
              <w:rPr>
                <w:rFonts w:ascii="Times New Roman" w:cs="Times New Roman" w:eastAsia="Times New Roman" w:hAnsi="Times New Roman"/>
                <w:sz w:val="14"/>
                <w:szCs w:val="14"/>
                <w:color w:val="auto"/>
              </w:rPr>
              <w:t>Net loss available to common</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6"/>
        </w:trPr>
        <w:tc>
          <w:tcPr>
            <w:tcW w:w="5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stockholders</w:t>
            </w:r>
          </w:p>
        </w:tc>
        <w:tc>
          <w:tcPr>
            <w:tcW w:w="5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(44,072)</w:t>
            </w:r>
          </w:p>
        </w:tc>
        <w:tc>
          <w:tcPr>
            <w:tcW w:w="580" w:type="dxa"/>
            <w:vAlign w:val="bottom"/>
            <w:gridSpan w:val="2"/>
          </w:tcPr>
          <w:p>
            <w:pPr>
              <w:jc w:val="right"/>
              <w:ind w:right="304"/>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(2,059)</w:t>
            </w:r>
          </w:p>
        </w:tc>
        <w:tc>
          <w:tcPr>
            <w:tcW w:w="5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(19,061)</w:t>
            </w: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(1,634)</w:t>
            </w:r>
          </w:p>
        </w:tc>
      </w:tr>
      <w:tr>
        <w:trPr>
          <w:trHeight w:val="173"/>
        </w:trPr>
        <w:tc>
          <w:tcPr>
            <w:tcW w:w="5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Change in fair value of PIPE make-whole liability</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(764)</w:t>
            </w:r>
          </w:p>
        </w:tc>
        <w:tc>
          <w:tcPr>
            <w:tcW w:w="42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(66)</w:t>
            </w:r>
          </w:p>
        </w:tc>
      </w:tr>
      <w:tr>
        <w:trPr>
          <w:trHeight w:val="172"/>
        </w:trPr>
        <w:tc>
          <w:tcPr>
            <w:tcW w:w="5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Change in fair value of liability-classified warrants</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(634)</w:t>
            </w:r>
          </w:p>
        </w:tc>
        <w:tc>
          <w:tcPr>
            <w:tcW w:w="42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(54)</w:t>
            </w:r>
          </w:p>
        </w:tc>
      </w:tr>
      <w:tr>
        <w:trPr>
          <w:trHeight w:val="157"/>
        </w:trPr>
        <w:tc>
          <w:tcPr>
            <w:tcW w:w="5060" w:type="dxa"/>
            <w:vAlign w:val="bottom"/>
            <w:shd w:val="clear" w:color="auto" w:fill="CCEEFF"/>
          </w:tcPr>
          <w:p>
            <w:pPr>
              <w:ind w:left="300"/>
              <w:spacing w:after="0" w:line="157" w:lineRule="exact"/>
              <w:rPr>
                <w:sz w:val="20"/>
                <w:szCs w:val="20"/>
                <w:color w:val="auto"/>
              </w:rPr>
            </w:pPr>
            <w:r>
              <w:rPr>
                <w:rFonts w:ascii="Times New Roman" w:cs="Times New Roman" w:eastAsia="Times New Roman" w:hAnsi="Times New Roman"/>
                <w:sz w:val="14"/>
                <w:szCs w:val="14"/>
                <w:color w:val="auto"/>
              </w:rPr>
              <w:t>Reallocation of net loss as a result of conversion of Class B to Class A Common</w:t>
            </w: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7"/>
        </w:trPr>
        <w:tc>
          <w:tcPr>
            <w:tcW w:w="5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(2,059)</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(1,754)</w:t>
            </w:r>
          </w:p>
        </w:tc>
        <w:tc>
          <w:tcPr>
            <w:tcW w:w="4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7"/>
        </w:trPr>
        <w:tc>
          <w:tcPr>
            <w:tcW w:w="5060" w:type="dxa"/>
            <w:vAlign w:val="bottom"/>
          </w:tcPr>
          <w:p>
            <w:pPr>
              <w:ind w:left="300"/>
              <w:spacing w:after="0" w:line="157" w:lineRule="exact"/>
              <w:rPr>
                <w:sz w:val="20"/>
                <w:szCs w:val="20"/>
                <w:color w:val="auto"/>
              </w:rPr>
            </w:pPr>
            <w:r>
              <w:rPr>
                <w:rFonts w:ascii="Times New Roman" w:cs="Times New Roman" w:eastAsia="Times New Roman" w:hAnsi="Times New Roman"/>
                <w:sz w:val="14"/>
                <w:szCs w:val="14"/>
                <w:color w:val="auto"/>
              </w:rPr>
              <w:t>Reallocation of net loss as a result of conversion of Class B to Class A Common</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7"/>
        </w:trPr>
        <w:tc>
          <w:tcPr>
            <w:tcW w:w="5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7"/>
                <w:szCs w:val="17"/>
                <w:color w:val="auto"/>
              </w:rPr>
            </w:pPr>
          </w:p>
        </w:tc>
      </w:tr>
      <w:tr>
        <w:trPr>
          <w:trHeight w:val="163"/>
        </w:trPr>
        <w:tc>
          <w:tcPr>
            <w:tcW w:w="506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Allocation of net loss</w:t>
            </w: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(46,131)</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(22,213)</w:t>
            </w:r>
          </w:p>
        </w:tc>
        <w:tc>
          <w:tcPr>
            <w:tcW w:w="3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100" w:type="dxa"/>
            <w:vAlign w:val="bottom"/>
            <w:tcBorders>
              <w:top w:val="single" w:sz="8" w:color="CCEEFF"/>
            </w:tcBorders>
            <w:gridSpan w:val="2"/>
            <w:shd w:val="clear" w:color="auto" w:fill="CCEEFF"/>
          </w:tcPr>
          <w:p>
            <w:pPr>
              <w:spacing w:after="0"/>
              <w:rPr>
                <w:sz w:val="14"/>
                <w:szCs w:val="14"/>
                <w:color w:val="auto"/>
              </w:rPr>
            </w:pPr>
          </w:p>
        </w:tc>
      </w:tr>
      <w:tr>
        <w:trPr>
          <w:trHeight w:val="172"/>
        </w:trPr>
        <w:tc>
          <w:tcPr>
            <w:tcW w:w="5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Denominator:</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5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Number of shares used in basic earnings per share calculation</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4,343,588</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202,921</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2,617,527</w:t>
            </w:r>
          </w:p>
        </w:tc>
        <w:tc>
          <w:tcPr>
            <w:tcW w:w="4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224,431</w:t>
            </w:r>
          </w:p>
        </w:tc>
        <w:tc>
          <w:tcPr>
            <w:tcW w:w="80" w:type="dxa"/>
            <w:vAlign w:val="bottom"/>
            <w:shd w:val="clear" w:color="auto" w:fill="CCEEFF"/>
          </w:tcPr>
          <w:p>
            <w:pPr>
              <w:spacing w:after="0"/>
              <w:rPr>
                <w:sz w:val="14"/>
                <w:szCs w:val="14"/>
                <w:color w:val="auto"/>
              </w:rPr>
            </w:pPr>
          </w:p>
        </w:tc>
      </w:tr>
      <w:tr>
        <w:trPr>
          <w:trHeight w:val="172"/>
        </w:trPr>
        <w:tc>
          <w:tcPr>
            <w:tcW w:w="5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Shares issuable in satisfaction of PIPE make-whole liability</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72,722</w:t>
            </w:r>
          </w:p>
        </w:tc>
        <w:tc>
          <w:tcPr>
            <w:tcW w:w="420" w:type="dxa"/>
            <w:vAlign w:val="bottom"/>
          </w:tcPr>
          <w:p>
            <w:pPr>
              <w:spacing w:after="0"/>
              <w:rPr>
                <w:sz w:val="14"/>
                <w:szCs w:val="14"/>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Shares issuable under liability-classified warrants</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33,620</w:t>
            </w:r>
          </w:p>
        </w:tc>
        <w:tc>
          <w:tcPr>
            <w:tcW w:w="42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5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Conversion of Class B to Class A Common Stock</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202,921</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224,431</w:t>
            </w:r>
          </w:p>
        </w:tc>
        <w:tc>
          <w:tcPr>
            <w:tcW w:w="420" w:type="dxa"/>
            <w:vAlign w:val="bottom"/>
          </w:tcPr>
          <w:p>
            <w:pPr>
              <w:spacing w:after="0"/>
              <w:rPr>
                <w:sz w:val="15"/>
                <w:szCs w:val="15"/>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506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Number of shares used in per share computation</w:t>
            </w: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4,546,509</w:t>
            </w: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202,921</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2,948,302</w:t>
            </w:r>
          </w:p>
        </w:tc>
        <w:tc>
          <w:tcPr>
            <w:tcW w:w="3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224,431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74"/>
        </w:trPr>
        <w:tc>
          <w:tcPr>
            <w:tcW w:w="50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Diluted net loss per share</w:t>
            </w:r>
          </w:p>
        </w:tc>
        <w:tc>
          <w:tcPr>
            <w:tcW w:w="14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Pr>
          <w:p>
            <w:pPr>
              <w:spacing w:after="0"/>
              <w:rPr>
                <w:sz w:val="15"/>
                <w:szCs w:val="15"/>
                <w:color w:val="auto"/>
              </w:rPr>
            </w:pPr>
          </w:p>
        </w:tc>
        <w:tc>
          <w:tcPr>
            <w:tcW w:w="42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3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4"/>
              </w:rPr>
              <w:t>)</w:t>
            </w: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For the purposes of applying the if converted method or treasury stock method for calculating diluted earnings per share, the Public Warrants, Private Warrants, PIPE Common Warrants, Placement Agent Warrants, RSAs, RSUs and stock options result in anti-dilution. Therefore, these securities are not included in the computation of diluted net loss per share. The Earnout Shares and shares issuable under the Rage Earnout were not included for purposes of calculating the number of diluted shares outstanding because the number of dilutive shares is, in each case, based on a contingency which had not been met during the periods presented herein. The potential shares of Class A Common Stock that were excluded from the computation of diluted net loss per share for the periods presented because including them would have an antidilutive effect were as follows: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type w:val="continuous"/>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7"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00" w:type="dxa"/>
            <w:vAlign w:val="bottom"/>
            <w:gridSpan w:val="2"/>
          </w:tcPr>
          <w:p>
            <w:pPr>
              <w:spacing w:after="0"/>
              <w:rPr>
                <w:sz w:val="15"/>
                <w:szCs w:val="15"/>
                <w:color w:val="auto"/>
              </w:rPr>
            </w:pPr>
          </w:p>
        </w:tc>
        <w:tc>
          <w:tcPr>
            <w:tcW w:w="1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92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Public Warrants and Private Warrants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900,000</w:t>
            </w:r>
          </w:p>
        </w:tc>
        <w:tc>
          <w:tcPr>
            <w:tcW w:w="34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900,000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common stock warrants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1,570,568</w:t>
            </w:r>
          </w:p>
        </w:tc>
        <w:tc>
          <w:tcPr>
            <w:tcW w:w="340" w:type="dxa"/>
            <w:vAlign w:val="bottom"/>
          </w:tcPr>
          <w:p>
            <w:pPr>
              <w:spacing w:after="0"/>
              <w:rPr>
                <w:sz w:val="14"/>
                <w:szCs w:val="14"/>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751,878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Earnout Shares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34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350,000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potentially issuable under Rage Earnout</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64,280</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128,560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RSAs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487,250</w:t>
            </w:r>
          </w:p>
        </w:tc>
        <w:tc>
          <w:tcPr>
            <w:tcW w:w="340" w:type="dxa"/>
            <w:vAlign w:val="bottom"/>
            <w:shd w:val="clear" w:color="auto" w:fill="CCEEFF"/>
          </w:tcPr>
          <w:p>
            <w:pPr>
              <w:spacing w:after="0"/>
              <w:rPr>
                <w:sz w:val="14"/>
                <w:szCs w:val="14"/>
                <w:color w:val="auto"/>
              </w:rPr>
            </w:pP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RSUs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954,562</w:t>
            </w:r>
          </w:p>
        </w:tc>
        <w:tc>
          <w:tcPr>
            <w:tcW w:w="340" w:type="dxa"/>
            <w:vAlign w:val="bottom"/>
          </w:tcPr>
          <w:p>
            <w:pPr>
              <w:spacing w:after="0"/>
              <w:rPr>
                <w:sz w:val="14"/>
                <w:szCs w:val="14"/>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446,318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245,218</w:t>
            </w:r>
          </w:p>
        </w:tc>
        <w:tc>
          <w:tcPr>
            <w:tcW w:w="340" w:type="dxa"/>
            <w:vAlign w:val="bottom"/>
            <w:shd w:val="clear" w:color="auto" w:fill="CCEEFF"/>
          </w:tcPr>
          <w:p>
            <w:pPr>
              <w:spacing w:after="0"/>
              <w:rPr>
                <w:sz w:val="15"/>
                <w:szCs w:val="15"/>
                <w:color w:val="auto"/>
              </w:rPr>
            </w:pP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274,063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2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4,571,878</w:t>
            </w:r>
          </w:p>
        </w:tc>
        <w:tc>
          <w:tcPr>
            <w:tcW w:w="340" w:type="dxa"/>
            <w:vAlign w:val="bottom"/>
          </w:tcPr>
          <w:p>
            <w:pPr>
              <w:spacing w:after="0"/>
              <w:rPr>
                <w:sz w:val="15"/>
                <w:szCs w:val="15"/>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2,850,819</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Concentrations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Customers</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For the year ended September 30, 2025, one customer accounted for 50% of the Company’s net revenue. For the year ended September 30, 2024, one customer accounted for 40% of the Company’s net revenue. No other customer accounted for more than 10% of net revenue in the respective periods.</w:t>
      </w:r>
    </w:p>
    <w:p>
      <w:pPr>
        <w:spacing w:after="0" w:line="1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As of September 30, 2025, two customers had balances due that represented 30% of the Company’s total accounts receivable. As of September 30, 2024, two customers had balances due that represented 71% of the Company’s total 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Segment Information</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spacing w:after="0" w:line="1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consolidated statements of operations and comprehensive loss when making operating decisions.</w:t>
      </w:r>
    </w:p>
    <w:p>
      <w:pPr>
        <w:spacing w:after="0" w:line="13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measure of segment assets is reported on the consolidated balance sheets as total assets. The CODM does not review segment assets at a level other than that presented in the Company’s consolidated balance sheets.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Revenues by Geographic Region</w:t>
            </w: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Company’s net revenue by geographic region, based on ship-to location, are summarized as follows:</w:t>
            </w: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vMerge w:val="restart"/>
          </w:tcPr>
          <w:p>
            <w:pPr>
              <w:spacing w:after="0"/>
              <w:rPr>
                <w:sz w:val="14"/>
                <w:szCs w:val="14"/>
                <w:color w:val="auto"/>
              </w:rPr>
            </w:pPr>
          </w:p>
        </w:tc>
        <w:tc>
          <w:tcPr>
            <w:tcW w:w="6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840" w:type="dxa"/>
            <w:vAlign w:val="bottom"/>
            <w:gridSpan w:val="2"/>
            <w:shd w:val="clear" w:color="auto" w:fill="CCEEFF"/>
          </w:tcPr>
          <w:p>
            <w:pPr>
              <w:jc w:val="right"/>
              <w:ind w:right="12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9,152</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5,699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rPr>
              <w:t>China</w:t>
            </w: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4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760</w:t>
            </w:r>
          </w:p>
        </w:tc>
        <w:tc>
          <w:tcPr>
            <w:tcW w:w="5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4"/>
                <w:szCs w:val="14"/>
                <w:color w:val="auto"/>
              </w:rPr>
              <w:t>Total net revenue</w:t>
            </w:r>
          </w:p>
        </w:tc>
        <w:tc>
          <w:tcPr>
            <w:tcW w:w="480" w:type="dxa"/>
            <w:vAlign w:val="bottom"/>
          </w:tcPr>
          <w:p>
            <w:pPr>
              <w:spacing w:after="0"/>
              <w:rPr>
                <w:sz w:val="15"/>
                <w:szCs w:val="15"/>
                <w:color w:val="auto"/>
              </w:rPr>
            </w:pPr>
          </w:p>
        </w:tc>
        <w:tc>
          <w:tcPr>
            <w:tcW w:w="1360" w:type="dxa"/>
            <w:vAlign w:val="bottom"/>
            <w:tcBorders>
              <w:top w:val="single" w:sz="8" w:color="auto"/>
              <w:bottom w:val="single" w:sz="8" w:color="auto"/>
            </w:tcBorders>
          </w:tcPr>
          <w:p>
            <w:pPr>
              <w:jc w:val="right"/>
              <w:ind w:right="120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9,912</w:t>
            </w:r>
          </w:p>
        </w:tc>
        <w:tc>
          <w:tcPr>
            <w:tcW w:w="34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6,442</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Long-Lived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Substantially all of the Company’s long-lived assets are located in the United States.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 Subsequent Events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At the Market Offering Agreement</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On October 21, 2025, the Company entered into an At The Market Offering Agreement (the “ATM Agreement”) with Roth Capital Partners, LLC (“Manager”) under which the Company may offer and sell, from time to time at its sole discretion, up to $15,800 in shares of its Class A Common Stock through the Manager acting in its capacity as its sales agent.</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Pursuant to the ATM Agreement, sales of the Common Stock, if any, will be made under the Company’s effective Registration Statement on Form S-3 (File No. 333-284351), previously filed with the Securities and Exchange Commission on January 17, 2025 and declared effective on January 24, 2025, and the prospectus supplement relating to this offering for up to $15,800 in shares of its Common Stock, filed on October 21, 2025 by any method that is deemed to be an “at the market offering” as defined in Rule 415(a)(4) under the Securities Act of 1933, as amended, including privately negotiated and block transactions. The Manager will use commercially reasonable efforts consistent with its normal trading and sales practices and applicable state and federal law, rules and regulations and the rules of The Nasdaq Capital Market to sell the Common Stock from time to time, based upon instructions from the Company (including any price, time or size limits or other customary parameters or conditions the Company may impose). The Company will pay the Manager a commission of three percent of the gross sales proceeds of any Common Stock sold through the Manager under the ATM Agreement, and also has provided the Manager with customary indemnification rights. The Company also reimbursed the Manager for certain expenses in connection with entering into the ATM Agreement.</w:t>
      </w:r>
    </w:p>
    <w:p>
      <w:pPr>
        <w:spacing w:after="0" w:line="14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intends to use the net proceeds from the offering for working capital purposes. The amount and timing of the proceeds the Company receives from the sale of its Class A Common Stock pursuant to the ATM Agreement, if any, will depend on a number of factors, including the numbers of shares the Company may elect to sell, the timing of such sales and the future market price of the Company’s Class A Common 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Modification of Warrants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On October 24, 2025, the Company entered into amendments to the PIPE Common Warrants, the Common Warrants and the Inducement Warrants, which comprise warrants to purchase an aggregate of 1,337,547 shares of the Company’s Class A Common Stock. The amendments revise certain terms of the warrants with the objective that, under the applicable guidance in ASC 480 and ASC 815, the warrants are expected to be equity-classified financial instruments. The amendments did not affect any terms of the warrants that are inputs into the estimation of the fair value of warrants under the Black-Scholes option pricing model, which the Company uses to estimate the fair value of warrants. As part of these amendments, the Company issued the warrant holder an additional warrant to purchase 100,000 shares of Class A Common Stock on the same terms as the Inducement Warrant, including an exercise price of $10.80 per share.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Settlement of Liabilities</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In October 2025, the Company executed exchange agreements with two vendors, pursuant to which the Company issued 47,795 shares of its Class A Common Stock in exchange for the cancellation of $405 of obligations.</w:t>
      </w:r>
    </w:p>
    <w:p>
      <w:pPr>
        <w:spacing w:after="0" w:line="1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Also in October 2025, the Company executed an exchange agreement with the holder of a note payable, pursuant to which the Company issued 68,789 shares of its Class A Common Stock in exchange for the cancellation of the note payable and accrued interest of $511.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Borrowings</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In November 2025, the Company amended a note payable with an unaffiliated investor to increase the borrowings thereunder, for net proceeds of $112. Amounts owed under this note are payable in weekly installments through May, 2027.</w:t>
      </w:r>
    </w:p>
    <w:p>
      <w:pPr>
        <w:spacing w:after="0" w:line="1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In November and December 2025, the Company entered into two amended agreements for the sale of future receipts, wherein the Company sold future receipts totaling $1,966 for net proceeds of $806. Amounts owed under these agreements are payable in weekly installments through July, 2026.</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December 2025, the Company issued a $1,100 promissory note for net proceeds of $800. The $1,100 principal amount of the promissory note will be payable, without interest, in June 2027.</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Issuance of Class A Common Stock</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On January 6, 2026, the Company entered into certain securities purchase agreements with unrelated investors relating to a public offering of 3,000,000 shares of its Class A Common Stock at a price to the public of $2.00 per share (the “</w:t>
      </w:r>
      <w:r>
        <w:rPr>
          <w:rFonts w:ascii="Times New Roman" w:cs="Times New Roman" w:eastAsia="Times New Roman" w:hAnsi="Times New Roman"/>
          <w:sz w:val="14"/>
          <w:szCs w:val="14"/>
          <w:u w:val="single" w:color="auto"/>
          <w:color w:val="auto"/>
        </w:rPr>
        <w:t>Offering</w:t>
      </w:r>
      <w:r>
        <w:rPr>
          <w:rFonts w:ascii="Times New Roman" w:cs="Times New Roman" w:eastAsia="Times New Roman" w:hAnsi="Times New Roman"/>
          <w:sz w:val="14"/>
          <w:szCs w:val="14"/>
          <w:color w:val="auto"/>
        </w:rPr>
        <w:t>”). In connection with the Offering, the Company entered into a placement agency agreement, pursuant to which the Company agreed to pay the placement agent a cash placement fee equal to 8.0% of the aggregate gross proceeds raised in the Offering. Subject to certain conditions, the Company also agreed to reimburse the placement agent up to 1.0% of the gross proceeds raised in the Offering for non-accountable expenses and up to $100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$5,135, after deducting placement agent fees and commissions and other estimated offering expenses payable by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Reverse Stock Split</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On April 2, 2026, the Company’s board of directors approved a reverse stock split of its Class A common stock and Class B common stock at a ratio of 1-for-10 (the “Reverse Stock Split”). The Reverse Stock Split became effective at 4:00 p.m. Eastern Time on April 6, 2026, and the Company’s Class A common stock began trading on a post-split adjusted basis on April 7, 2026. The number of authorized shares and par value per share were not adjusted as a result of the Reverse Stock Split. All references to shares, options to purchase common stock, share amounts, per share amounts, and related information contained in the consolidated financial statements have been retrospectively adjusted to reflect the effect of the Reverse Stock Split for all periods presented.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As the Legacy Mobix shares converted on a one for one basis to Class A Common Stock of the Company during the Merger, the number of Chavant shares outstanding immediately prior to the Merger have also been recast such that the total shares of Class A Common Stock disclosed at the time of the Merger close reflects the impact of the Reverse Stock Split on a consistent basis. The number of warrants outstanding was not reduced as a result of the Reverse Stock Split. Rather, in accordance with the terms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consolidated financial statements. No fractional shares were issued in connection with the Reverse Stock Split, and cash was paid in lieu of fractional shares.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4"/>
          <w:szCs w:val="14"/>
          <w:b w:val="1"/>
          <w:bCs w:val="1"/>
          <w:color w:val="auto"/>
        </w:rPr>
        <w:t>PART II — INFORMATION NOT REQUIRED IN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185" w:lineRule="exact"/>
        <w:rPr>
          <w:sz w:val="20"/>
          <w:szCs w:val="20"/>
          <w:color w:val="auto"/>
        </w:rPr>
      </w:pPr>
    </w:p>
    <w:p>
      <w:pPr>
        <w:ind w:firstLine="517"/>
        <w:spacing w:after="0" w:line="293" w:lineRule="auto"/>
        <w:rPr>
          <w:sz w:val="20"/>
          <w:szCs w:val="20"/>
          <w:color w:val="auto"/>
        </w:rPr>
      </w:pPr>
      <w:r>
        <w:rPr>
          <w:rFonts w:ascii="Times New Roman" w:cs="Times New Roman" w:eastAsia="Times New Roman" w:hAnsi="Times New Roman"/>
          <w:sz w:val="14"/>
          <w:szCs w:val="14"/>
          <w:color w:val="auto"/>
        </w:rPr>
        <w:t>The following table sets forth the various expenses expected to be incurred in connection with the sale and distribution of the securities being registered hereby, other than underwriting discounts and commissions, all of which will be borne by the Company.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76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4"/>
                <w:szCs w:val="14"/>
                <w:color w:val="auto"/>
              </w:rPr>
              <w:t>354.96</w:t>
            </w:r>
          </w:p>
        </w:tc>
      </w:tr>
      <w:tr>
        <w:trPr>
          <w:trHeight w:val="172"/>
        </w:trPr>
        <w:tc>
          <w:tcPr>
            <w:tcW w:w="916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760" w:type="dxa"/>
            <w:vAlign w:val="bottom"/>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50,000*</w:t>
            </w:r>
          </w:p>
        </w:tc>
      </w:tr>
      <w:tr>
        <w:trPr>
          <w:trHeight w:val="172"/>
        </w:trPr>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76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w:t>
            </w:r>
          </w:p>
        </w:tc>
      </w:tr>
      <w:tr>
        <w:trPr>
          <w:trHeight w:val="183"/>
        </w:trPr>
        <w:tc>
          <w:tcPr>
            <w:tcW w:w="916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 expenses</w:t>
            </w:r>
          </w:p>
        </w:tc>
        <w:tc>
          <w:tcPr>
            <w:tcW w:w="760" w:type="dxa"/>
            <w:vAlign w:val="bottom"/>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20,000*</w:t>
            </w:r>
          </w:p>
        </w:tc>
      </w:tr>
      <w:tr>
        <w:trPr>
          <w:trHeight w:val="174"/>
        </w:trPr>
        <w:tc>
          <w:tcPr>
            <w:tcW w:w="9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760" w:type="dxa"/>
            <w:vAlign w:val="bottom"/>
            <w:tcBorders>
              <w:top w:val="single" w:sz="8" w:color="auto"/>
              <w:bottom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90,345.96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r>
      <w:tr>
        <w:trPr>
          <w:trHeight w:val="20"/>
        </w:trPr>
        <w:tc>
          <w:tcPr>
            <w:tcW w:w="9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left="260" w:hanging="254"/>
        <w:spacing w:after="0"/>
        <w:tabs>
          <w:tab w:leader="none" w:pos="2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estimates and accordingly are subject to change.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185"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43" w:lineRule="exact"/>
        <w:rPr>
          <w:sz w:val="20"/>
          <w:szCs w:val="20"/>
          <w:color w:val="auto"/>
        </w:rPr>
      </w:pPr>
    </w:p>
    <w:p>
      <w:pPr>
        <w:jc w:val="both"/>
        <w:ind w:firstLine="517"/>
        <w:spacing w:after="0" w:line="263" w:lineRule="auto"/>
        <w:rPr>
          <w:sz w:val="20"/>
          <w:szCs w:val="20"/>
          <w:color w:val="auto"/>
        </w:rPr>
      </w:pPr>
      <w:r>
        <w:rPr>
          <w:rFonts w:ascii="Times New Roman" w:cs="Times New Roman" w:eastAsia="Times New Roman" w:hAnsi="Times New Roman"/>
          <w:sz w:val="14"/>
          <w:szCs w:val="14"/>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19"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60" w:name="page161"/>
    <w:bookmarkEnd w:id="160"/>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42"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Additionally, our Charter limits the liability of our directors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our Board.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under the circumstances and to the extent provided for therein, from and against all losses, claims, damages, liabilities, joint or several, expenses (including legal fees and expenses), judgments, fines, penalties, interest, settlements or other amounts arising from any and all threatened, pending or completed claim, demand, action, suit or proceeding, whether civil, criminal, administrative or investigative, and whether formal or informal, and including appeals, in which he or she may be involved, or is threatened to be involved, as a party or otherwise, to the fullest extent permitted under the DGCL and the Bylaws. The indemnification agreements also require us, if so requested, to advance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list sets forth information as to all of our securities sold in the last three years that were not registered under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PIPE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Sage Hill PIPE Subscription Agreement and Sage Hill Warrant</w:t>
      </w:r>
    </w:p>
    <w:p>
      <w:pPr>
        <w:spacing w:after="0" w:line="185"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On December 18, 2023, the Company entered into a subscription agreement (the “Sage Hill PIPE Subscription Agreement”) with Sage Hill Investors, LLC (“Sage Hill”), pursuant to which Sage Hill agreed to purchase, in a private placement that closed substantially concurrently with the Closing, 150,000 shares of Class A Common Stock in cash at a price of $100.00 per share for an aggregate purchase price of $15,000,000, on the terms and subject to the conditions set forth in the Sage Hill PIPE Subscription Agreement. Pursuant to the Sage Hill Subscription Agreement, Chavant agreed to issue additional shares of Class A Common Stock to Sage Hill in the event that the volume weighted average price per share of the Class A Common Stock during the 30-day period (the “Adjustment Period”) commencing on the date that is 30 days after the date on which a resale registration statement is declared effective (the “Adjustment Period VWAP”) is less than $100.00 per share. In such case, Sage will be entitled to receive a number of shares of Class A Common Stock equal to the product of (x) the number of shares of Class A Common Stock issued to Sage Hill at the closing of the subscription and held by Sage Hill through the end of the Adjustment Period multiplied by (y) a fraction, (A) the numerator of which is $100.00 minus the Adjustment Period VWAP and (B) the denominator of which is the Adjustment Period VWAP (the “Make-Whole Shares”). In the event that the Adjustment Period VWAP is less than $70.00, the Adjustment Period VWAP will be deemed to be $70.00.</w:t>
      </w:r>
    </w:p>
    <w:p>
      <w:pPr>
        <w:spacing w:after="0" w:line="14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In connection with the execution of the Sage Hill PIPE Subscription Agreement, Mobix Labs issued to Sage Hill a warrant to purchase 150,000 shares of Mobix Labs Stock at an exercise price of $0.10 per share, exercisable upon the closing of the Sage Hill PIPE Subscription Agreement and stockholder approval (the “Sage Hill Warrant”). Our stockholders approved the exercise of the Sage Hill Warrant at the special meeting held on January 3, 2025 and was exercised on February 25, 2025.</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i w:val="1"/>
          <w:iCs w:val="1"/>
          <w:color w:val="auto"/>
        </w:rPr>
        <w:t>Sponsor PIPE Subscription Agreement, Sponsor Warrant and Sponsor Letter Agreement</w:t>
      </w:r>
    </w:p>
    <w:p>
      <w:pPr>
        <w:spacing w:after="0" w:line="185"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On December 19, 2023, Chavant entered into the subscription agreement (the “Sponsor PIPE Subscription Agreement”) with the Sponsor pursuant to which the Sponsor agreed to purchase, in a private placement that closed substantially concurrently with the Closing, 19,973 shares of Class A Common Stock at a price of $100.00 per share for an aggregate purchase price of $1,997,370 paid through the forgiveness of the Forgiven Chavant Obligations (as defined below), on the terms and subject to the conditions set forth in the Sponsor PIPE Subscription Agreement and the Sponsor Letter Agreement described below. Pursuant to the Sponsor PIPE Subscription Agreement, Chavant agreed to issue additional shares of Class A Common Stock to the Sponsor or its permitted transferees in the event that the Adjustment Period VWAP during the Adjustment Period is less than $100.00 per share. In such case, the Sponsor or its permitted transferees will be entitled to receive a number of shares equal to the product of (x) the number of issued to the Sponsor at the closing of the subscription and held by the Sponsor or its permitted transferees through the end of the Adjustment Period multiplied by (y) a fraction, (A) the numerator of which is $100.00 minus the Adjustment Period VWAP and (B) the denominator of which is the Adjustment Period VWAP (the “Make-Whole Shares”). In the event that the Adjustment Period VWAP is less than $70.00, the Adjustment Period VWAP will be deemed to be $70.00.</w:t>
      </w:r>
    </w:p>
    <w:p>
      <w:pPr>
        <w:spacing w:after="0" w:line="149" w:lineRule="exact"/>
        <w:rPr>
          <w:sz w:val="20"/>
          <w:szCs w:val="20"/>
          <w:color w:val="auto"/>
        </w:rPr>
      </w:pPr>
    </w:p>
    <w:p>
      <w:pPr>
        <w:jc w:val="both"/>
        <w:ind w:firstLine="517"/>
        <w:spacing w:after="0" w:line="272" w:lineRule="auto"/>
        <w:rPr>
          <w:sz w:val="20"/>
          <w:szCs w:val="20"/>
          <w:color w:val="auto"/>
        </w:rPr>
      </w:pPr>
      <w:r>
        <w:rPr>
          <w:rFonts w:ascii="Times New Roman" w:cs="Times New Roman" w:eastAsia="Times New Roman" w:hAnsi="Times New Roman"/>
          <w:sz w:val="14"/>
          <w:szCs w:val="14"/>
          <w:color w:val="auto"/>
        </w:rPr>
        <w:t>In connection with the execution of the Sponsor PIPE Subscription Agreement, Mobix Labs issued to the Sponsor a warrant to purchase 27,245 shares of Mobix Labs Stock at an exercise price of $0.10 per share, exercisable upon the closing of the Sponsor PIPE Subscription Agreement (the “Sponsor Warrant”). The Sponsor Warrant was exercised at the closing of the Sponsor PIPE Subscription Agreement and, following net settlement into 27,218 shares of Mobix Labs Stock, converted into 27,218 shares of Class A Common Stock of the Company in connection with the Closing.</w:t>
      </w:r>
    </w:p>
    <w:p>
      <w:pPr>
        <w:spacing w:after="0" w:line="313"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On December 20, 2023, Chavant also entered into a Sponsor Letter Agreement with the Sponsor (the “Sponsor Letter Agreement”). Pursuant to the Sponsor Letter Agreement, as consideration for the 19,973 shares issued pursuant to the Sponsor PIPE Subscription Agreement, the Sponsor agreed to forgive, effective upon the Closing, approximately $1,997,370 of aggregate outstanding obligations of Chavant owed to the Sponsor, consisting of (i) $1,150,000 aggregate principal amount of working capital loans outstanding under Chavant’s convertible promissory notes issued to the Sponsor, (ii) $610,000 aggregate principal amount of working capital loans outstanding under Chavant’s non-convertible promissory notes issued to the Sponsor (the accrued interest under which was forgiven), (iii) an estimated additional $40,000 in aggregate principal amount of working capital loans incurred to pay additional expenses in connection with the Closing,</w:t>
      </w:r>
    </w:p>
    <w:p>
      <w:pPr>
        <w:spacing w:after="0" w:line="2" w:lineRule="exact"/>
        <w:rPr>
          <w:sz w:val="20"/>
          <w:szCs w:val="20"/>
          <w:color w:val="auto"/>
        </w:rPr>
      </w:pPr>
    </w:p>
    <w:p>
      <w:pPr>
        <w:jc w:val="both"/>
        <w:ind w:firstLine="6"/>
        <w:spacing w:after="0" w:line="264" w:lineRule="auto"/>
        <w:tabs>
          <w:tab w:leader="none" w:pos="263"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$165,000 of outstanding reimbursement obligations owed to the Sponsor by Chavant for administrative services, as described above under the heading “</w:t>
      </w:r>
      <w:r>
        <w:rPr>
          <w:rFonts w:ascii="Times New Roman" w:cs="Times New Roman" w:eastAsia="Times New Roman" w:hAnsi="Times New Roman"/>
          <w:sz w:val="14"/>
          <w:szCs w:val="14"/>
          <w:i w:val="1"/>
          <w:iCs w:val="1"/>
          <w:color w:val="auto"/>
        </w:rPr>
        <w:t>Certain Chavant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Relationships and Related Person Transactions - Administrative Services</w:t>
      </w:r>
      <w:r>
        <w:rPr>
          <w:rFonts w:ascii="Times New Roman" w:cs="Times New Roman" w:eastAsia="Times New Roman" w:hAnsi="Times New Roman"/>
          <w:sz w:val="14"/>
          <w:szCs w:val="14"/>
          <w:color w:val="auto"/>
        </w:rPr>
        <w:t>” and (v) approximately $32,370 of reimbursement obligations owed to Dr. Jiong Ma, the Chief Executive Officer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Chavant, by Chavant for certain operating expenses of Chavant paid by Dr. Ma (collectively, the “Forgiven Chavant Obligations”).</w:t>
      </w:r>
    </w:p>
    <w:p>
      <w:pPr>
        <w:spacing w:after="0" w:line="144"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In addition, pursuant to the Sponsor Letter Agreement, the Sponsor agreed to forfeit (1) 65,863 Founder Shares that it held (“Sponsor Forfeited Founder Shares”) and (2) 40,000 Private Placement Warrants that it held (“Sponsor Forfeited Private Placement Warrants”), in each case upon the Closing.</w:t>
      </w:r>
    </w:p>
    <w:p>
      <w:pPr>
        <w:spacing w:after="0" w:line="123" w:lineRule="exact"/>
        <w:rPr>
          <w:sz w:val="20"/>
          <w:szCs w:val="20"/>
          <w:color w:val="auto"/>
        </w:rPr>
      </w:pPr>
    </w:p>
    <w:p>
      <w:pPr>
        <w:jc w:val="both"/>
        <w:ind w:firstLine="517"/>
        <w:spacing w:after="0" w:line="259" w:lineRule="auto"/>
        <w:rPr>
          <w:sz w:val="20"/>
          <w:szCs w:val="20"/>
          <w:color w:val="auto"/>
        </w:rPr>
      </w:pPr>
      <w:r>
        <w:rPr>
          <w:rFonts w:ascii="Times New Roman" w:cs="Times New Roman" w:eastAsia="Times New Roman" w:hAnsi="Times New Roman"/>
          <w:sz w:val="14"/>
          <w:szCs w:val="14"/>
          <w:color w:val="auto"/>
        </w:rPr>
        <w:t>The forfeiture of the Sponsor Forfeited Founder Shares reduced the number of Founder Shares held by the Sponsor, which are subject to the lock-up agreement applicable to the Founder Equityholders as set forth in the Amended and Restated Registration Rights and Lock-Up Agreement (the “Founder Share Lock-Up”), to 92,218 Founder Shares. The Sponsor has distributed these Founder Shares to its members, subject to the Founder Share Lock-Up. In such distributions, (1) Chavant Family Office, a controlled affiliate of Dr. Ma, received 72,460 representing Founder Shares, and (2) STAR SCI, a controlled affiliate of Dr. André-Jacques Auberton-Hervé, Chavant’s Chairman, received 19,758 representing Founder Shares. The forfeiture of the Sponsor Forfeited Private Placement Warrants reduced the number of Private Placement Warrants held by the Sponsor to 239,433 Private Placement Warrants. None of the Private Placement Warrants are subject to the Founder Share Lock-Up, and the Sponsor distributed these Private Placement Warrants to its members following the Closing. In such distribution, (i) Chavant Family Office, a controlled affiliate of Dr. Ma, received 124,155 Private Placement Warrants, and (ii) STAR SCI, a controlled affiliate of Dr. Auberton-Hervé, received 35,832 Private Placement Warrants. In addition, the shares of Class A Common Stock the Sponsor received upon the Closing pursuant to the Sponsor PIPE Subscription Agreement and the conversion of the Sponsor Warrant, as described above, are not subject to the Founder Share Lock-Up. The Sponsor distributed these PIPE Shares to its members in April 2024. In such distribution, (1) Chavant Family Office, a controlled affiliate of Dr. Ma, received approximately 7,139 shares of Class A Common Stock (reflecting $140,000 of non-convertible debt that Dr. Ma had funded to the Sponsor in respect of working capital loans to Chavant, Dr. Ma’s pro rata share in the amount of approximately $130,000 of the outstanding reimbursement obligations owed to the Sponsor for administrative services, and the outstanding reimbursement obligations of $32,370 owed to Dr. Ma, as described above, each forgiven pursuant to the Sponsor Letter Agreement) and (2) STAR SCI, a controlled affiliate of Dr. Auberton-Hervé, received approximately 34,338 shares of Class A Common Stock (reflecting $1.4 million of convertible and non-convertible debt that Dr. Auberton-Hervé had funded to the Sponsor in respect of working capital loans to Chavant and Dr. Auberton-Hervé’s pro rata share of the outstanding reimbursement obligations owed to the Sponsor for administrative services, each forgiven pursuant to the Sponsor Letter Agreement).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3"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i w:val="1"/>
          <w:iCs w:val="1"/>
          <w:color w:val="auto"/>
        </w:rPr>
        <w:t>Additional PIPE Subscription Agreements and Additional Warrants</w:t>
      </w:r>
    </w:p>
    <w:p>
      <w:pPr>
        <w:spacing w:after="0" w:line="185"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As of December 21, 2023, Chavant had entered into additional subscription agreements (the “Additional PIPE Subscription Agreements and, together with the Sage Hill PIPE Subscription Agreement and the Sponsor PIPE Subscription Agreement, the “PIPE Subscription Agreements”) with other investors (the “Other Investors”), pursuant to which the Other Investors agreed to purchase, in private placements that closed substantially concurrently with the Closing, a total of 47,500 shares of Class A Common Stock in cash at a price of $100.00 per share for an aggregate purchase price of $4,750,000, on the terms and subject to the conditions set forth in each such Additional PIPE Subscription Agreement. The terms of each Additional PIPE Subscription Agreement (other than the purchase amount) are substantially similar to those in the subscription agreement entered into between Chavant and Sage Hill and the Sponsor, including those relating to issuance of additional shares of Class A Common Stock in the event that the Adjustment Period VWAP is less than $100.00, as discussed above.</w:t>
      </w:r>
    </w:p>
    <w:p>
      <w:pPr>
        <w:spacing w:after="0" w:line="143"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In connection with the execution of the Additional PIPE Subscription Agreements, Mobix Labs issued to the Other Investors warrants to purchase 45,000 shares of Mobix Labs Stock at an exercise price of $0.10 per share (the “Additional Warrants”), of which Additional Warrants convertible into 19,980 shares of Class A Common Stock (following net settlement) were exercisable upon the closing of the Additional PIPE Subscription Agreements (the “Converted Additional Warrants”) and Additional Warrants convertible into 25,000 shares of Class A Common Stock are exercisable upon the closing of the Additional PIPE Subscription Agreements and stockholder approval (the “Non-Converted Additional Warrants”; the shares of Class A Common Stock underlying the Non-Converted Additional Warrants and the Sage Hill Warrant, the “Unregistered Warrant Shares”). The Converted Additional Warrants were exercised at the closing of the Additional PIPE Subscription Agreements and, following net settlement into 19,980 shares of Mobix Common Stock, converted into 19,980 shares of Class A Common Stock in connection with the Closing. The Non-Converted Warrants remain outstanding, and stockholder approval for the exercise of the Non-Converted Warrants was obtained in 2025.</w:t>
      </w:r>
    </w:p>
    <w:p>
      <w:pPr>
        <w:spacing w:after="0" w:line="147"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The Company issued, or will issue, the foregoing securities under Section 4(a)(2) of the Securities Act of 1933, as amended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the Company’s transfer agent). The parties also had adequate access, through business or other relationships, to information about the Company.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Under the Committed Equity Facility</w:t>
      </w:r>
    </w:p>
    <w:p>
      <w:pPr>
        <w:spacing w:after="0" w:line="187"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On March 18, 2024, we entered into the B. Riley Purchase Agreement with B. Riley Principal Capital, pursuant to which we had the right to sell to B. Riley Principal Capital up to $100 million in shares of Class A Common Stock, subject to certain limitations and the satisfaction of specified conditions in the B. Riley Purchase Agreement, from time to time over the 24-month period commencing on the date that a registration statement covering the resale of the shares is declared effective by the SEC. Such registration statement, which registered 950,000 shares of Class A Common Stock, became effective on May 13, 2024. As of the date of this prospectus, we sold 3,636 shares of our Class A Common Stock to B. Riley Principal Capital for proceeds of $73000, net of discounts. We intend to use the net proceeds for general corporate purposes, including funding capital expenditures, future acquisitions and working capital. The issuance of the shares was deemed to be exempt from registration under the Securities Act, in reliance on Section 4(a)(2) of the Securities Act as transactions by an issuer not involving a public offering.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3"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 of RaGE Systems Inc.</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June 2, 2026, we issued 464,952 earnout shares shares in connection with our acquisition of RaGE Systems.</w:t>
      </w:r>
    </w:p>
    <w:p>
      <w:pPr>
        <w:spacing w:after="0" w:line="18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Class A Shares will be issued pursuant to and in accordance with the exemption from registration under the Securities Act of 1933, as amended, provided by Section 4(a)(2) thereof as a transaction by an issuer not involving any public offering.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Shares under Confidential Settlement and Release Agreement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June 4, 2024, we entered into a Confidential Settlement and Release Agreement pursuant to which we issued 2,499 shares of Class A Common Stock to a former employee.</w:t>
      </w:r>
    </w:p>
    <w:p>
      <w:pPr>
        <w:spacing w:after="0" w:line="18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Class A Shares were issued pursuant to and in accordance with the exemption from registration under the Securities Act of 1933, as amended, provided by Section 4(a)(2) thereof as a transaction by an issuer not involving any public offering.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Shares under the July 2024 Purchase Agreement</w:t>
      </w:r>
    </w:p>
    <w:p>
      <w:pPr>
        <w:spacing w:after="0" w:line="187"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On July 22, 2024, we entered into the July 2024 Purchase Agreement with Master Fund in connection with the 2024 Private Placement. Pursuant to the July 2024 Purchase Agreement, we issued the Pre-Funded Warrant to purchase up to 287,769 shares of Class A Common Stock. We also issued the Existing Warrants to purchase an aggregate of 575,539 shares of our Class A Common Stock. In August 2024, the Master Fund exercised the Pre-Funded Warrant in full and hence has now expired. The Existing Warrants had an original exercise price of $13.90 per share, which was amended in the 2025 Offering to have a new exercise price of $8.20. The Existing Warrants are exercisable beginning on the effective date of stockholder approval of the issuance of the shares of Class A Common Stock issuable upon exercise of the Existing Warrants. The gross proceeds in connection with the 2024 Private Placement was approximately $4 million. The Pre-Funded Warrants and the Existing Warrants and the shares of Class A Common Stock issuable thereunder were issued in reliance upon the exemption from the registration requirements in Section 4(a)(2) of the Securities Act, and Regulation D promulgated thereunder and HCW acted as the exclusive placement agent for the Company in connection with the 2024 Private Placement.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Shares under the Stock Purchase Agreement</w:t>
      </w:r>
    </w:p>
    <w:p>
      <w:pPr>
        <w:spacing w:after="0" w:line="187"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Effective August 30, 2024, we entered into a Stock Purchase Agreement with an unaffiliated investor, pursuant to which we sold 37,641 shares of our Class A Common Stock and issued the investor a warrant to purchase up to 40,700 shares of our Class A Common Stock. The warrant has an exercise price of $11.80, is immediately exercisable upon issuance, and has a five year term. The gross proceeds in connection with this Stock Purchase Agreement were $192. The shares of our Class A Common Stock, the warrants and the shares of Class A Common Stock issuable thereunder were issued in reliance upon the exemption from the registration requirements in Section 4(a)(2) of the Securities Act, and Regulation D promulgated thereunder.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1" w:right="319" w:bottom="1440" w:gutter="0" w:footer="0" w:header="0"/>
        </w:sectPr>
      </w:pPr>
    </w:p>
    <w:bookmarkStart w:id="164" w:name="page165"/>
    <w:bookmarkEnd w:id="164"/>
    <w:p>
      <w:pPr>
        <w:jc w:val="both"/>
        <w:ind w:right="20" w:firstLine="517"/>
        <w:spacing w:after="0" w:line="293" w:lineRule="auto"/>
        <w:rPr>
          <w:sz w:val="20"/>
          <w:szCs w:val="20"/>
          <w:color w:val="auto"/>
        </w:rPr>
      </w:pPr>
      <w:r>
        <w:rPr>
          <w:rFonts w:ascii="Times New Roman" w:cs="Times New Roman" w:eastAsia="Times New Roman" w:hAnsi="Times New Roman"/>
          <w:sz w:val="14"/>
          <w:szCs w:val="14"/>
          <w:color w:val="auto"/>
        </w:rPr>
        <w:t>In connection with the settlement of litigation, on October 11, 2024, we agreed to issue a warrant to purchase 25,000 shares of Class A Common Stock to a former employee. Such warrants have an exercise price of $0.10 per share.</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November 25, 2024 and December 20, 2024, we agreed that two outstanding notes payable with an aggregate principal balance of $500,000, plus accrued interest of $45,896, would be converted into an aggregate of 631,805 shares of Class A Common Stock.</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December 4, 2024, we agreed to issue 4,000 shares of Class A Common Stock to two of our vendors in exchange for services rendered to us.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December 26, 2024, we agreed to sell 52,173 shares of Class A Common Stock to an accredited investor for an aggregate of $600,000.</w:t>
      </w:r>
    </w:p>
    <w:p>
      <w:pPr>
        <w:spacing w:after="0" w:line="18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January 1, 2025, we issued 24,818 shares of Class A Common Stock to one of the holders of our outstanding warrants upon that holder’s exercise pursuant to a cashless exercise provision. The warrant had an exercise price of $0.10 per share.</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January 1, 2025, we issued 56,310 shares of Class A Common Stock to RaGE Systems stockholders under the first tranche of the RaGE Earnout.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January 2, 2025, we issued 1,000 shares of Class A Common Stock upon the vesting of RSUs.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February 6, 2025, we issued 150,000 shares of Class A Common Stock to one of the holders of our outstanding warrants upon the exercise of warrant for cash of $15,000.</w:t>
      </w:r>
    </w:p>
    <w:p>
      <w:pPr>
        <w:spacing w:after="0" w:line="18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We issued an aggregate of 61,058 shares of Class A Common Stock, with (i) 7,723 shares issued on January 25, 2025, (ii) 3,335 shares issued on March 17, 2025, and (iii) 50,000 shares issued on March 21, 2025, to three of our vendors in settlement of unpaid accounts payable of $700,000.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 of shares under the April 2025 Offering</w:t>
      </w:r>
    </w:p>
    <w:p>
      <w:pPr>
        <w:spacing w:after="0" w:line="18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In April 2025, concurrent with the Registered Direct Offering, the Company conducted a private placement and offered unregistered Common Warrants to purchase up to 487,686 shares of Company’s Class A Common Stock. Roth acted as the exclusive placement agent for the Company in connection with the 2025 Offering. Furthermore, the Company agreed to issue Placement Agent Warrants to Roth (or its designees) to purchase up to 68,276 shares of Class A Common Stock at an exercise price of $8.20. The Placement Agent Warrants issued to Roth are exercisable upon receipt of stockholder approval, will expire on April 4, 2030, and are not transferable for 180 days beginning April 4, 2025 (the date of entering into the April 2025 Purchase Agreement). The net proceeds from the 2025 Offering were $3.2 million, after payment of Roth’s fees and expenses.</w:t>
      </w:r>
    </w:p>
    <w:p>
      <w:pPr>
        <w:spacing w:after="0" w:line="144"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Common Warrants and Placement Agent Warrants issued to Roth and the shares of Class A Common Stock issuable thereunder were issued in reliance upon the exemption from the registration requirements provided in Section 4(a)(2) under the Securities Act and Rule 506(b) promulgated thereunder.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April 2025 Warrant Exercise</w:t>
      </w:r>
    </w:p>
    <w:p>
      <w:pPr>
        <w:spacing w:after="0" w:line="187"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April 1, 2025, we issued 29,700 shares of Class A Common Stock to one of the holders of our outstanding warrants upon that holder’s exercise pursuant to a cashless exercise provision. The warrant had an exercise price of $0.10 per share. No underwriting discounts and commissions were paid with respect to the foregoing transaction. We believe the sales and issuances of the above securities were exempt from registration under the Securities Act by virtue of Section 3(a)(9) of the Securities Act because the warrants were exercised pursuant to a cashless exercise.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April 2025 Debt Exchange</w:t>
      </w:r>
    </w:p>
    <w:p>
      <w:pPr>
        <w:spacing w:after="0" w:line="187"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April 10, 2025, we issued 16,687 shares of Class A Common Stock to one of our creditors in exchange for satisfaction of the Company’s debt owed to such creditor in the amount of $115,500. On May 9, 2025, we issued 7,970 shares of Class A Common Stock to RaGE Systems stockholders as partial settlement of liability under the RaGE Earnout.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165" w:name="page166"/>
    <w:bookmarkEnd w:id="165"/>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No underwriting discounts and commissions were paid with respect to the foregoing transactions. We believe the sales and issuances of the above securities were exempt from registration under the Securities Act by virtue of Section 4(a)(2) of the Securities Act or Regulation D promulgated thereunder because the issuance of securities to the recipients did not involve a public offering, or in reliance on Rule 701 because the transactions were pursuant to compensatory benefit plans or contracts relating to compensation as provided under such rule.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Second Half of 2025 Financings</w:t>
      </w:r>
    </w:p>
    <w:p>
      <w:pPr>
        <w:spacing w:after="0" w:line="187"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On August 13, 2025, we entered into a Securities Purchase Agreement with Lendspark Corporation, pursuant to which it issued a secured promissory note (the “Lendspark Note”) in the principal amount of $550,000. The Note bears a fixed annual interest rate and matures 12 months from issuance. As part of the financing, the Company issued 15,000 shares of Class A Common Stock as commitment shares, granted customary registration rights, and provided a first-priority security interest in substantially all of our assets, subject to permitted liens. The Note is convertible at the option of Lendspark, into up to 250,000 shares of our Class A Common Stock at a fixed conversion price of $7.00 per share. In addition, the Note contains “make-whole” provisions that require us to issue a limited number of additional shares or make cash payments under certain circumstances.</w:t>
      </w:r>
    </w:p>
    <w:p>
      <w:pPr>
        <w:spacing w:after="0" w:line="144"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August 13, 2025, we also entered into a Business Loan and Security Agreement with Maximcash Solutions LLC (“Maxim”), pursuant to which the Company received $600,000 of loan proceeds secured by all of our assets. In connection with this financing, we issued 19,375 shares of Class A Common Stock as commitment shares and issued 150,000 shares of Class A Common Stock to Maxim which were pledged as additional collateral, which may only be utilized by Maxim in the event of default. Maxim was also granted customary registration rights.</w:t>
      </w:r>
    </w:p>
    <w:p>
      <w:pPr>
        <w:spacing w:after="0" w:line="13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Additionally, on August 15, 2025, we entered into a Stock Purchase Agreement with an accredited investor for the sale of 105,272 shares of Class A Common Stock at a price of $9.50 per share, resulting in gross proceeds of approximately $1.0 million. The investor also received a warrant to purchase 50,004 shares of Class A Common Stock at $9.60 per share, which is exercisable for three years.</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On September 3, 2025, we entered into the Inducement Letter with a warrant holder pursuant to which the holder agreed to exercise for cash previously issued warrants to purchase up to 548,646 shares of our common stock at a price of $8.20 per share, resulting in gross proceeds of approximately $4.5 million. In consideration for the exercise, the holder received inducement warrants to purchase up to 822,970 shares of our common stock at $10.80 per share, which are exercisable for five years following stockholder approval. Roth Capital Partners acted as our financial advisor and received a cash placement fee equal to 7.0% of the gross proceeds, as well as warrants to purchase up to 38,405 shares of our common stock at $10.80 per share.</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Additionally, on October 24, 2025, we issued an additional warrant to purchase 100,000 shares of Class A Common Stock to the Master Fund as consideration for revising certain terms of the Armistice Warrants.</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From October 15, 2025 through October 23, 2025, we issued an aggregate of 116,284 shares of Class A Common Stock to three of our creditors in exchange for satisfaction of the Company’s debt owed to such creditors in the aggregate amount of $916 thousand.</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November 7, 2025, we issued 35,000 shares of Class A Common Stock to an accredited investor in exchange for advisory services.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Additionally, on December 15, 2025, we issued 2,500 shares of Class A Common Stock in connection with the settlement of litigation.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Financings</w:t>
      </w:r>
    </w:p>
    <w:p>
      <w:pPr>
        <w:spacing w:after="0" w:line="187"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March 13, 2026, we issued an aggregate of 206,876 shares of Class A Common Stock to three of our creditors in exchange for satisfaction of the Company’s debt owed to such creditors in the aggregate amount of $3 million.</w:t>
      </w:r>
    </w:p>
    <w:p>
      <w:pPr>
        <w:spacing w:after="0" w:line="123"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Between February 23, 2026 and March 17, 2026, we entered into two securities purchase agreements providing for the issuance of convertible notes. The agreements were entered into on February 23, 2026 and March 16, 2026, respectively, and provided for bridge promissory notes with an aggregate principal amount of $554 thousand, aggregate original issue discount of $72 thousand, aggregate purchase price of $482 thousand, and one-time interest charges of 12%. These bridge notes mature on December 30, 2026 and January 15, 2027, respectively, and require aggregate scheduled payments of $621 thousand. The promissory notes are convertible into shares of our Class A Common Stock at the election of the holder at a conversion price equal to 75% multiplied by the lowest trading price of the Class A Common Stock during the 10 trading days prior to the conversion date.</w:t>
      </w:r>
    </w:p>
    <w:p>
      <w:pPr>
        <w:spacing w:after="0" w:line="144"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On March 31, 2026, we entered into a securities purchase agreement (the “Securities Purchase Agreement”) with Leviston Resources, LLC (“Leviston”), pursuant to which we agreed to issue a convertible promissory note. The $3 million principal amount of the promissory note was payable with interest in July 2026. We used the net proceeds from the sale of the Promissory Note for working capital and general corporate purposes. The promissory note bears an interest rate of 10% per annum. The promissory note is convertible into shares of our Class A Common Stock at the election of Leviston at a conversion price that is the lesser of (i) the closing price on March 31, 2026, which was $3.34 and (ii) 85% of the lowest 8-day VWAP immediately prior to and including the date of the notice of conversion.</w:t>
      </w:r>
    </w:p>
    <w:p>
      <w:pPr>
        <w:spacing w:after="0" w:line="144"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May 13, 2026, we agreed to issue 488,506 shares of Class A Common Stock to Rocket in exchange for satisfaction of a portion of the debt owed to them in the amount of $850 thousand. On June 8, 2026 we agreed to issue 344,431 shares to Rocket in satisfaction of the remaining debt owed to them in the amount of $779 thousand.</w:t>
      </w:r>
    </w:p>
    <w:p>
      <w:pPr>
        <w:spacing w:after="0" w:line="12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On June 5, 2026, we entered into a final exchange and release agreement with Fuji West Funding, LLC, pursuant to which issued 375,005 shares of Class A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166" w:name="page167"/>
    <w:bookmarkEnd w:id="166"/>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 xml:space="preserve">On May 13, 2026, we entered into the Investor Rights Agreement (the “Investor Rights Agreement”) that grants Leviston the right, but not the obligation, to acquire, over a seven-month period, additional secured convertible notes of up to $4 million in aggregate principal amount on terms substantially similar to the Promissory Note and secured on a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basis.</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Between May 12, 2026 and May 18, 2026, Leviston converted the entire $4.0 million of outstanding principal under the Promissory Note, as amended, together with all accrued interest thereon, into an aggregate of 2,500,000 shares of Class A Common Stock, satisfying the promissory note in full. The issuance of the shares of Class A Common Stock was exempt from registration under Section 3(a)(9) of the Securities Act. Any shares issuable pursuant to the Investor Rights Agreement upon conversion of additional secured convertible notes will be effected in reliance upon Section 3(a)(9) of the Securities Act.</w:t>
      </w:r>
    </w:p>
    <w:p>
      <w:pPr>
        <w:spacing w:after="0" w:line="142" w:lineRule="exact"/>
        <w:rPr>
          <w:sz w:val="20"/>
          <w:szCs w:val="20"/>
          <w:color w:val="auto"/>
        </w:rPr>
      </w:pPr>
    </w:p>
    <w:p>
      <w:pPr>
        <w:jc w:val="both"/>
        <w:ind w:firstLine="517"/>
        <w:spacing w:after="0" w:line="265" w:lineRule="auto"/>
        <w:rPr>
          <w:sz w:val="20"/>
          <w:szCs w:val="20"/>
          <w:color w:val="auto"/>
        </w:rPr>
      </w:pPr>
      <w:r>
        <w:rPr>
          <w:rFonts w:ascii="Times New Roman" w:cs="Times New Roman" w:eastAsia="Times New Roman" w:hAnsi="Times New Roman"/>
          <w:sz w:val="14"/>
          <w:szCs w:val="14"/>
          <w:color w:val="auto"/>
        </w:rPr>
        <w:t>On May 18, 2026, we issued to Leviston an additional senior secured convertible promissory note in the original principal amount of $1.2 million, for gross proceeds to us of approximately $1 million. On June 22, 2026, we entered into an amendment to the Investor Rights Agreement, pursuant to which we issued an additional senior secured convertible promissory note with a principal amount of $2.8 million in favor of Leviston. On August 28, 2026, we entered into an amendment to the securities purchase agreement entered into on March 31, 2026 with Leviston, pursuant to which we issued an additional senior secured convertible promissory note with a principal amount of $1.2 million in favor of Leviston. We intend to use any proceeds from the additional notes for working capital and general corporate purposes Any shares issuable upon conversion of the additional secured convertible notes will be effected in reliance upon Section 3(a)(9) of the Securities Act.</w:t>
      </w:r>
    </w:p>
    <w:p>
      <w:pPr>
        <w:spacing w:after="0" w:line="316" w:lineRule="exact"/>
        <w:rPr>
          <w:sz w:val="20"/>
          <w:szCs w:val="20"/>
          <w:color w:val="auto"/>
        </w:rPr>
      </w:pPr>
    </w:p>
    <w:p>
      <w:pPr>
        <w:jc w:val="both"/>
        <w:ind w:firstLine="517"/>
        <w:spacing w:after="0" w:line="261" w:lineRule="auto"/>
        <w:rPr>
          <w:sz w:val="20"/>
          <w:szCs w:val="20"/>
          <w:color w:val="auto"/>
        </w:rPr>
      </w:pPr>
      <w:r>
        <w:rPr>
          <w:rFonts w:ascii="Times New Roman" w:cs="Times New Roman" w:eastAsia="Times New Roman" w:hAnsi="Times New Roman"/>
          <w:sz w:val="14"/>
          <w:szCs w:val="14"/>
          <w:color w:val="auto"/>
        </w:rPr>
        <w:t>On May 19, 2026, we entered into a Securities Purchase Agreement with Kips (the “May 2026 Purchase Agreement”), pursuant to which we agreed to sell to Kips (i) 2,000 shares of Series A Preferred Stock for aggregate gross proceeds of $2.4 million and (ii) the May 2026 Preferred Warrant to purchase up to an additional 6,000 Preferred Shares at an exercise price of $1,000 per share. Dividends are payable in cash, or at our option, in additional shares of Series A Preferred Stock. The Preferred Shares are convertible into shares of our Class A Common Stock at a conversion price equal to 82% of the lowest 8-day VWAP of the Class A Common Stock, immediately prior to and including the conversion date, subject to adjustments provided in the Certificate of Designation of Preferences, Rights and Limitations of Series A 10% Convertible Preferred Stock, including for stock dividends, stock splits, subsequent equity sales and similar events. The Preferred Warrant is exercisable beginning May 19, 2026 and expires no later than twelve months thereafter. In connection with the transaction, on May 19, 2026, we also entered into a registration rights agreement, as amended on June 18, 2026, with Kips (the “May 2026 Registration Rights Agreement”) pursuant to which we agreed to register the resale of shares of Class A Common Stock issuable upon conversion of the Preferred Shares. We agreed to issue $600,000 of shares of Class A Common Stock (or 294,117 shares) to Kips as consideration for extending the filing deadlines in the May 2026 Registration Rights Agreement.</w:t>
      </w:r>
    </w:p>
    <w:p>
      <w:pPr>
        <w:spacing w:after="0" w:line="146"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August 28, 2026, we amended the May 2026 Registration Rights Agreement and the May 2026 Purchase Agreement to issue and sell to Kips an additional 1,000 shares of Series A Preferred Stock and the August 2026 Preferred Warrant to purchase 6,000 additional shares of Series A Preferred Stock at an exercise price of $1,000 per share. The additional shares of Series A Preferred Stock issued pursuant to this transaction are subject to the same terms as those shares issued pursuant to the May 2026 Purchase Agreement.</w:t>
      </w:r>
    </w:p>
    <w:p>
      <w:pPr>
        <w:spacing w:after="0" w:line="135" w:lineRule="exact"/>
        <w:rPr>
          <w:sz w:val="20"/>
          <w:szCs w:val="20"/>
          <w:color w:val="auto"/>
        </w:rPr>
      </w:pPr>
    </w:p>
    <w:p>
      <w:pPr>
        <w:jc w:val="both"/>
        <w:ind w:firstLine="517"/>
        <w:spacing w:after="0" w:line="286" w:lineRule="auto"/>
        <w:rPr>
          <w:sz w:val="20"/>
          <w:szCs w:val="20"/>
          <w:color w:val="auto"/>
        </w:rPr>
      </w:pPr>
      <w:r>
        <w:rPr>
          <w:rFonts w:ascii="Times New Roman" w:cs="Times New Roman" w:eastAsia="Times New Roman" w:hAnsi="Times New Roman"/>
          <w:sz w:val="14"/>
          <w:szCs w:val="14"/>
          <w:color w:val="auto"/>
        </w:rPr>
        <w:t>No underwriting discounts and commissions were paid with respect to the foregoing transactions. We believe the sales and issuances of the above securities were exempt from registration under the Securities Act by virtue of Section 4(a)(2) of the Securities Act or Regulation D promulgated thereunder because the issuance of securities to the recipients did not involve a public offering.</w:t>
      </w:r>
    </w:p>
    <w:p>
      <w:pPr>
        <w:spacing w:after="0" w:line="30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August 5, 2026, we issued 585,365 shares to Kips upon conversion of 1,000 shares of Series A 10% Convertible Preferred Stock at a conversion price of $2.05. On August 13, 2026, Kips converted 1,000 shares of Series A 10% Convertible Preferred Stock into 585,365 shares of Class A Common Stock at a conversion price of $2.05. The issuance of the shares of Class A Common Stock was exempt from registration under Section 3(a)(9) of the Securities Act.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167" w:name="page168"/>
    <w:bookmarkEnd w:id="167"/>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August 13, 2026, an Lendspark Corporation submitted a conversion notice to convert $150,000 of outstanding principal and accrued interest into 126,957 shares of Class A Common Stock at a conversion price of $1.18 per share. That conversion was rescinded on August 18, 2026, and was not completed. On August 31, 2026, Lendspark Corporation submitted a conversion notice to convert $115,000 of outstanding principal and accrued interest into 125,272 shares of Class A Common Stock at a conversion price of $0.92 per share.</w:t>
      </w:r>
    </w:p>
    <w:p>
      <w:pPr>
        <w:spacing w:after="0" w:line="13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Between August 31, 2026 and October 9, 2026, Kips converted shares of Series A Preferred Stock into an aggregate of 4,699,457 shares of the Company’s Class A Common Stock. In addition, on September 4, 2026, the Company issued 834,782 shares of Class A Common Stock to Kips as extension shares in connection with the Series A Preferred Stock.</w:t>
      </w:r>
    </w:p>
    <w:p>
      <w:pPr>
        <w:spacing w:after="0" w:line="123"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Between September 1, 2026 and September 22, 2026, Vanquish Funding Group Inc. (“Vanquish”) converted portions of its outstanding convertible promissory notes, dated February 23, 2026 and March 17, 2026, in the original principal amount of $316,250 and 238,050, into an aggregate of 866,298 shares of the Company’s Class A Common Stock at conversion prices ranging from $0.81 to $0.64. Additionally, on September 2, 2026, September 9, 2026 and October 6, 2026 the Company entered into two securities purchase agreements agreeing to issue to Vanquish additional convertible notes in the principal amounts of $266,800 each.</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September 18, 2026, the Company issued 1,000 shares of Class A Common Stock to Catalyst Global LLC as compensation for services rendered to the Company.</w:t>
      </w:r>
    </w:p>
    <w:p>
      <w:pPr>
        <w:spacing w:after="0" w:line="183" w:lineRule="exact"/>
        <w:rPr>
          <w:sz w:val="20"/>
          <w:szCs w:val="20"/>
          <w:color w:val="auto"/>
        </w:rPr>
      </w:pPr>
    </w:p>
    <w:p>
      <w:pPr>
        <w:jc w:val="both"/>
        <w:ind w:firstLine="517"/>
        <w:spacing w:after="0" w:line="286" w:lineRule="auto"/>
        <w:rPr>
          <w:sz w:val="20"/>
          <w:szCs w:val="20"/>
          <w:color w:val="auto"/>
        </w:rPr>
      </w:pPr>
      <w:r>
        <w:rPr>
          <w:rFonts w:ascii="Times New Roman" w:cs="Times New Roman" w:eastAsia="Times New Roman" w:hAnsi="Times New Roman"/>
          <w:sz w:val="14"/>
          <w:szCs w:val="14"/>
          <w:color w:val="auto"/>
        </w:rPr>
        <w:t>The securities described above were issued pursuant to exemptions from registration under the Securities Act, including Section 4(a)(2) of the Securities Act, Section 3(a)(9) of the Securities Act, and/or Rule 506(b) of Regulation D promulgated thereunder. No underwriters were involved, and no underwriting discounts or commissions were paid, in connection with the foregoing issuances.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Merger Consideration</w:t>
      </w:r>
    </w:p>
    <w:p>
      <w:pPr>
        <w:spacing w:after="0" w:line="187"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August 13, 2026, we entered into a definitive merger agreement to acquire Special Project Delivery, Inc. for 4,800,000 shares of our Class A Common Stock. No shares will be issued unless and until our stockholders approve the issuance under Nasdaq Listing Rule 5635, and the closing is subject to that approval and other customary conditions.</w:t>
      </w:r>
    </w:p>
    <w:p>
      <w:pPr>
        <w:spacing w:after="0" w:line="123" w:lineRule="exact"/>
        <w:rPr>
          <w:sz w:val="20"/>
          <w:szCs w:val="20"/>
          <w:color w:val="auto"/>
        </w:rPr>
      </w:pPr>
    </w:p>
    <w:p>
      <w:pPr>
        <w:jc w:val="both"/>
        <w:ind w:firstLine="517"/>
        <w:spacing w:after="0" w:line="266" w:lineRule="auto"/>
        <w:rPr>
          <w:sz w:val="20"/>
          <w:szCs w:val="20"/>
          <w:color w:val="auto"/>
        </w:rPr>
      </w:pPr>
      <w:r>
        <w:rPr>
          <w:rFonts w:ascii="Times New Roman" w:cs="Times New Roman" w:eastAsia="Times New Roman" w:hAnsi="Times New Roman"/>
          <w:sz w:val="14"/>
          <w:szCs w:val="14"/>
          <w:color w:val="auto"/>
        </w:rPr>
        <w:t>The issuance of shares will be effected in reliance upon exemptions from registration under the Securities Act, including Section 4(a)(2) thereof and Rule 506(b) of Regulation D thereunder.</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Settlement of Litigation</w:t>
      </w:r>
    </w:p>
    <w:p>
      <w:pPr>
        <w:spacing w:after="0" w:line="187"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June 5, 2026, we entered into a settlement agreement and mutual release pursuant to which we issued 49,702 shares to Green Flash Media LLC and 21,565 shares to Wolff Moscaro LLP in connection with the settlement of litigation.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The financial statements filed as part of this registration statement are listed in the index to the financial statements immediately preceding such financial statements, which index to the financial statements is incorporated herein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r>
        <w:rPr>
          <w:rFonts w:ascii="Times New Roman" w:cs="Times New Roman" w:eastAsia="Times New Roman" w:hAnsi="Times New Roman"/>
          <w:sz w:val="14"/>
          <w:szCs w:val="14"/>
          <w:b w:val="1"/>
          <w:bCs w:val="1"/>
          <w:color w:val="auto"/>
        </w:rPr>
        <w:t xml:space="preserve">  Description</w:t>
      </w:r>
    </w:p>
    <w:p>
      <w:pPr>
        <w:spacing w:after="0" w:line="11" w:lineRule="exact"/>
        <w:rPr>
          <w:sz w:val="20"/>
          <w:szCs w:val="20"/>
          <w:color w:val="auto"/>
        </w:rPr>
      </w:pPr>
    </w:p>
    <w:p>
      <w:pPr>
        <w:jc w:val="both"/>
        <w:ind w:left="620" w:hanging="612"/>
        <w:spacing w:after="0" w:line="264"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2.1</w:t>
      </w:r>
      <w:r>
        <w:rPr>
          <w:sz w:val="20"/>
          <w:szCs w:val="20"/>
          <w:color w:val="auto"/>
        </w:rPr>
        <w:tab/>
      </w:r>
      <w:hyperlink r:id="rId182">
        <w:r>
          <w:rPr>
            <w:rFonts w:ascii="Times New Roman" w:cs="Times New Roman" w:eastAsia="Times New Roman" w:hAnsi="Times New Roman"/>
            <w:sz w:val="14"/>
            <w:szCs w:val="14"/>
            <w:u w:val="single" w:color="auto"/>
            <w:color w:val="0000EE"/>
          </w:rPr>
          <w:t>Agreement and Plan of Merger, dated as of September 26, 2022, by and among Mobix Labs, Inc., Mobix Merger Sub I, Inc., Mobix Merger Sub II, LLC, EMI Solutions, Inc., Yden</w:t>
        </w:r>
      </w:hyperlink>
      <w:r>
        <w:rPr>
          <w:rFonts w:ascii="Times New Roman" w:cs="Times New Roman" w:eastAsia="Times New Roman" w:hAnsi="Times New Roman"/>
          <w:sz w:val="14"/>
          <w:szCs w:val="14"/>
          <w:u w:val="single" w:color="auto"/>
          <w:color w:val="0000EE"/>
        </w:rPr>
        <w:t xml:space="preserve"> </w:t>
      </w:r>
      <w:hyperlink r:id="rId182">
        <w:r>
          <w:rPr>
            <w:rFonts w:ascii="Times New Roman" w:cs="Times New Roman" w:eastAsia="Times New Roman" w:hAnsi="Times New Roman"/>
            <w:sz w:val="14"/>
            <w:szCs w:val="14"/>
            <w:u w:val="single" w:color="auto"/>
            <w:color w:val="0000EE"/>
          </w:rPr>
          <w:t>Holdings, LLC, Robert Ydens and Julie Ydens (incorporated by reference to Exhibit 2.4 to Mobix Labs, Inc.’s Current Report on Form 8-K filed on December 28,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-223520</wp:posOffset>
            </wp:positionV>
            <wp:extent cx="677100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6771005" cy="6985"/>
                    </a:xfrm>
                    <a:prstGeom prst="rect">
                      <a:avLst/>
                    </a:prstGeom>
                    <a:noFill/>
                  </pic:spPr>
                </pic:pic>
              </a:graphicData>
            </a:graphic>
          </wp:anchor>
        </w:drawing>
      </w:r>
    </w:p>
    <w:p>
      <w:pPr>
        <w:jc w:val="both"/>
        <w:ind w:left="620" w:hanging="612"/>
        <w:spacing w:after="0" w:line="25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2.2</w:t>
      </w:r>
      <w:r>
        <w:rPr>
          <w:sz w:val="20"/>
          <w:szCs w:val="20"/>
          <w:color w:val="auto"/>
        </w:rPr>
        <w:tab/>
      </w:r>
      <w:hyperlink r:id="rId184">
        <w:r>
          <w:rPr>
            <w:rFonts w:ascii="Times New Roman" w:cs="Times New Roman" w:eastAsia="Times New Roman" w:hAnsi="Times New Roman"/>
            <w:sz w:val="14"/>
            <w:szCs w:val="14"/>
            <w:u w:val="single" w:color="auto"/>
            <w:color w:val="0000EE"/>
          </w:rPr>
          <w:t>Amendment No. 1 to the Agreement and Plan of Merger, dated as of November 28, 2023, by and among Mobix Labs, Inc., Mobix Merger Sub I, Inc., Mobix Merger Sub II, LLC, EMI</w:t>
        </w:r>
      </w:hyperlink>
      <w:r>
        <w:rPr>
          <w:rFonts w:ascii="Times New Roman" w:cs="Times New Roman" w:eastAsia="Times New Roman" w:hAnsi="Times New Roman"/>
          <w:sz w:val="14"/>
          <w:szCs w:val="14"/>
          <w:u w:val="single" w:color="auto"/>
          <w:color w:val="0000EE"/>
        </w:rPr>
        <w:t xml:space="preserve"> </w:t>
      </w:r>
      <w:hyperlink r:id="rId184">
        <w:r>
          <w:rPr>
            <w:rFonts w:ascii="Times New Roman" w:cs="Times New Roman" w:eastAsia="Times New Roman" w:hAnsi="Times New Roman"/>
            <w:sz w:val="14"/>
            <w:szCs w:val="14"/>
            <w:u w:val="single" w:color="auto"/>
            <w:color w:val="0000EE"/>
          </w:rPr>
          <w:t>Solutions, Inc., Yden Holdings, LLC, Robert Ydens and Julie Ydens (incorporated by reference to Exhibit 2.5 to Mobix Labs, Inc.’s Current Report on Form 8-K filed on December 28,</w:t>
        </w:r>
      </w:hyperlink>
      <w:r>
        <w:rPr>
          <w:rFonts w:ascii="Times New Roman" w:cs="Times New Roman" w:eastAsia="Times New Roman" w:hAnsi="Times New Roman"/>
          <w:sz w:val="14"/>
          <w:szCs w:val="14"/>
          <w:u w:val="single" w:color="auto"/>
          <w:color w:val="0000EE"/>
        </w:rPr>
        <w:t xml:space="preserve"> </w:t>
      </w:r>
      <w:hyperlink r:id="rId184">
        <w:r>
          <w:rPr>
            <w:rFonts w:ascii="Times New Roman" w:cs="Times New Roman" w:eastAsia="Times New Roman" w:hAnsi="Times New Roman"/>
            <w:sz w:val="14"/>
            <w:szCs w:val="14"/>
            <w:u w:val="single" w:color="auto"/>
            <w:color w:val="0000EE"/>
          </w:rPr>
          <w:t>2023).</w:t>
        </w:r>
      </w:hyperlink>
    </w:p>
    <w:p>
      <w:pPr>
        <w:spacing w:after="0" w:line="1" w:lineRule="exact"/>
        <w:rPr>
          <w:rFonts w:ascii="Times New Roman" w:cs="Times New Roman" w:eastAsia="Times New Roman" w:hAnsi="Times New Roman"/>
          <w:sz w:val="14"/>
          <w:szCs w:val="14"/>
          <w:u w:val="single" w:color="auto"/>
          <w:color w:val="0000EE"/>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3.1</w:t>
      </w:r>
      <w:r>
        <w:rPr>
          <w:sz w:val="20"/>
          <w:szCs w:val="20"/>
          <w:color w:val="auto"/>
        </w:rPr>
        <w:tab/>
      </w:r>
      <w:hyperlink r:id="rId185">
        <w:r>
          <w:rPr>
            <w:rFonts w:ascii="Times New Roman" w:cs="Times New Roman" w:eastAsia="Times New Roman" w:hAnsi="Times New Roman"/>
            <w:sz w:val="14"/>
            <w:szCs w:val="14"/>
            <w:u w:val="single" w:color="auto"/>
            <w:color w:val="0000EE"/>
          </w:rPr>
          <w:t>Certificate of Incorporation of the Company (incorporated by reference to Exhibit 3.1 to Mobix Labs, Inc.’s Current Report on Form 8-K filed on December 28, 2023).</w:t>
        </w:r>
      </w:hyperlink>
    </w:p>
    <w:p>
      <w:pPr>
        <w:spacing w:after="0" w:line="11" w:lineRule="exact"/>
        <w:rPr>
          <w:rFonts w:ascii="Times New Roman" w:cs="Times New Roman" w:eastAsia="Times New Roman" w:hAnsi="Times New Roman"/>
          <w:sz w:val="14"/>
          <w:szCs w:val="14"/>
          <w:u w:val="single" w:color="auto"/>
          <w:color w:val="0000EE"/>
        </w:rPr>
      </w:pPr>
    </w:p>
    <w:p>
      <w:pPr>
        <w:jc w:val="both"/>
        <w:ind w:left="620" w:hanging="612"/>
        <w:spacing w:after="0" w:line="25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3.2</w:t>
      </w:r>
      <w:r>
        <w:rPr>
          <w:sz w:val="20"/>
          <w:szCs w:val="20"/>
          <w:color w:val="auto"/>
        </w:rPr>
        <w:tab/>
      </w:r>
      <w:hyperlink r:id="rId186">
        <w:r>
          <w:rPr>
            <w:rFonts w:ascii="Times New Roman" w:cs="Times New Roman" w:eastAsia="Times New Roman" w:hAnsi="Times New Roman"/>
            <w:sz w:val="14"/>
            <w:szCs w:val="14"/>
            <w:u w:val="single" w:color="auto"/>
            <w:color w:val="0000EE"/>
          </w:rPr>
          <w:t>Certificate of Amendment of Certificate of Incorporation (incorporated by reference to Exhibit 3.2 of the Registrant’s Registration Statement on Form S-1 (File No. 333-278451), filed</w:t>
        </w:r>
      </w:hyperlink>
      <w:r>
        <w:rPr>
          <w:rFonts w:ascii="Times New Roman" w:cs="Times New Roman" w:eastAsia="Times New Roman" w:hAnsi="Times New Roman"/>
          <w:sz w:val="14"/>
          <w:szCs w:val="14"/>
          <w:u w:val="single" w:color="auto"/>
          <w:color w:val="0000EE"/>
        </w:rPr>
        <w:t xml:space="preserve"> </w:t>
      </w:r>
      <w:hyperlink r:id="rId186">
        <w:r>
          <w:rPr>
            <w:rFonts w:ascii="Times New Roman" w:cs="Times New Roman" w:eastAsia="Times New Roman" w:hAnsi="Times New Roman"/>
            <w:sz w:val="14"/>
            <w:szCs w:val="14"/>
            <w:u w:val="single" w:color="auto"/>
            <w:color w:val="0000EE"/>
          </w:rPr>
          <w:t>with the SEC on April 2, 2024).</w:t>
        </w:r>
      </w:hyperlink>
    </w:p>
    <w:p>
      <w:pPr>
        <w:spacing w:after="0" w:line="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3.3</w:t>
      </w:r>
      <w:r>
        <w:rPr>
          <w:sz w:val="20"/>
          <w:szCs w:val="20"/>
          <w:color w:val="auto"/>
        </w:rPr>
        <w:tab/>
      </w:r>
      <w:hyperlink r:id="rId187">
        <w:r>
          <w:rPr>
            <w:rFonts w:ascii="Times New Roman" w:cs="Times New Roman" w:eastAsia="Times New Roman" w:hAnsi="Times New Roman"/>
            <w:sz w:val="14"/>
            <w:szCs w:val="14"/>
            <w:u w:val="single" w:color="auto"/>
            <w:color w:val="0000EE"/>
          </w:rPr>
          <w:t>Bylaws of Mobix Labs, Inc. (incorporated by reference to Exhibit 3.2 to Mobix Labs, Inc.’s Current Report on Form 8-K filed on December 28, 2023).</w:t>
        </w:r>
      </w:hyperlink>
    </w:p>
    <w:p>
      <w:pPr>
        <w:spacing w:after="0" w:line="1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4.1</w:t>
      </w:r>
      <w:r>
        <w:rPr>
          <w:sz w:val="20"/>
          <w:szCs w:val="20"/>
          <w:color w:val="auto"/>
        </w:rPr>
        <w:tab/>
      </w:r>
      <w:hyperlink r:id="rId188">
        <w:r>
          <w:rPr>
            <w:rFonts w:ascii="Times New Roman" w:cs="Times New Roman" w:eastAsia="Times New Roman" w:hAnsi="Times New Roman"/>
            <w:sz w:val="14"/>
            <w:szCs w:val="14"/>
            <w:u w:val="single" w:color="auto"/>
            <w:color w:val="0000EE"/>
          </w:rPr>
          <w:t>Specimen Class A Common Stock Certificate (incorporated by reference to Exhibit 4.1 to Mobix Labs, Inc.’s Current Report on Form 8-K filed on December 28, 2023).</w:t>
        </w:r>
      </w:hyperlink>
    </w:p>
    <w:p>
      <w:pPr>
        <w:spacing w:after="0" w:line="1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4.2</w:t>
      </w:r>
      <w:r>
        <w:rPr>
          <w:sz w:val="20"/>
          <w:szCs w:val="20"/>
          <w:color w:val="auto"/>
        </w:rPr>
        <w:tab/>
      </w:r>
      <w:hyperlink r:id="rId189">
        <w:r>
          <w:rPr>
            <w:rFonts w:ascii="Times New Roman" w:cs="Times New Roman" w:eastAsia="Times New Roman" w:hAnsi="Times New Roman"/>
            <w:sz w:val="14"/>
            <w:szCs w:val="14"/>
            <w:u w:val="single" w:color="auto"/>
            <w:color w:val="0000EE"/>
          </w:rPr>
          <w:t>Specimen Warrant Certificate (incorporated by reference to Exhibit 4.2 to Mobix Labs, Inc.’s Current Report on Form 8-K filed on December 28, 2023).</w:t>
        </w:r>
      </w:hyperlink>
    </w:p>
    <w:p>
      <w:pPr>
        <w:spacing w:after="0" w:line="11" w:lineRule="exact"/>
        <w:rPr>
          <w:sz w:val="20"/>
          <w:szCs w:val="20"/>
          <w:color w:val="auto"/>
        </w:rPr>
      </w:pPr>
    </w:p>
    <w:p>
      <w:pPr>
        <w:jc w:val="both"/>
        <w:ind w:left="620" w:hanging="612"/>
        <w:spacing w:after="0" w:line="25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4.3</w:t>
      </w:r>
      <w:r>
        <w:rPr>
          <w:sz w:val="20"/>
          <w:szCs w:val="20"/>
          <w:color w:val="auto"/>
        </w:rPr>
        <w:tab/>
      </w:r>
      <w:hyperlink r:id="rId190">
        <w:r>
          <w:rPr>
            <w:rFonts w:ascii="Times New Roman" w:cs="Times New Roman" w:eastAsia="Times New Roman" w:hAnsi="Times New Roman"/>
            <w:sz w:val="14"/>
            <w:szCs w:val="14"/>
            <w:u w:val="single" w:color="auto"/>
            <w:color w:val="0000EE"/>
          </w:rPr>
          <w:t>Warrant Agreement, dated July 19, 2021, by and between Chavant and Continental Stock Transfer &amp; Trust Company, as warrant agent (incorporated by reference to Exhibit 4.1 to</w:t>
        </w:r>
      </w:hyperlink>
      <w:r>
        <w:rPr>
          <w:rFonts w:ascii="Times New Roman" w:cs="Times New Roman" w:eastAsia="Times New Roman" w:hAnsi="Times New Roman"/>
          <w:sz w:val="14"/>
          <w:szCs w:val="14"/>
          <w:u w:val="single" w:color="auto"/>
          <w:color w:val="0000EE"/>
        </w:rPr>
        <w:t xml:space="preserve"> </w:t>
      </w:r>
      <w:hyperlink r:id="rId190">
        <w:r>
          <w:rPr>
            <w:rFonts w:ascii="Times New Roman" w:cs="Times New Roman" w:eastAsia="Times New Roman" w:hAnsi="Times New Roman"/>
            <w:sz w:val="14"/>
            <w:szCs w:val="14"/>
            <w:u w:val="single" w:color="auto"/>
            <w:color w:val="0000EE"/>
          </w:rPr>
          <w:t>Chavant’s Current Report on Form 8-K filed on July 23, 2021).</w:t>
        </w:r>
      </w:hyperlink>
    </w:p>
    <w:p>
      <w:pPr>
        <w:spacing w:after="0" w:line="1" w:lineRule="exact"/>
        <w:rPr>
          <w:sz w:val="20"/>
          <w:szCs w:val="20"/>
          <w:color w:val="auto"/>
        </w:rPr>
      </w:pPr>
    </w:p>
    <w:p>
      <w:pPr>
        <w:jc w:val="both"/>
        <w:ind w:left="620" w:hanging="612"/>
        <w:spacing w:after="0" w:line="25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4.4</w:t>
      </w:r>
      <w:r>
        <w:rPr>
          <w:sz w:val="20"/>
          <w:szCs w:val="20"/>
          <w:color w:val="auto"/>
        </w:rPr>
        <w:tab/>
      </w:r>
      <w:hyperlink r:id="rId191">
        <w:r>
          <w:rPr>
            <w:rFonts w:ascii="Times New Roman" w:cs="Times New Roman" w:eastAsia="Times New Roman" w:hAnsi="Times New Roman"/>
            <w:sz w:val="14"/>
            <w:szCs w:val="14"/>
            <w:u w:val="single" w:color="auto"/>
            <w:color w:val="0000EE"/>
          </w:rPr>
          <w:t>Amendment to the Warrant Agreement, dated December 21, 2023, by and between Chavant and Continental Stock Transfer &amp; Trust Company, as warrant agent (incorporated by</w:t>
        </w:r>
      </w:hyperlink>
      <w:r>
        <w:rPr>
          <w:rFonts w:ascii="Times New Roman" w:cs="Times New Roman" w:eastAsia="Times New Roman" w:hAnsi="Times New Roman"/>
          <w:sz w:val="14"/>
          <w:szCs w:val="14"/>
          <w:u w:val="single" w:color="auto"/>
          <w:color w:val="0000EE"/>
        </w:rPr>
        <w:t xml:space="preserve"> </w:t>
      </w:r>
      <w:hyperlink r:id="rId191">
        <w:r>
          <w:rPr>
            <w:rFonts w:ascii="Times New Roman" w:cs="Times New Roman" w:eastAsia="Times New Roman" w:hAnsi="Times New Roman"/>
            <w:sz w:val="14"/>
            <w:szCs w:val="14"/>
            <w:u w:val="single" w:color="auto"/>
            <w:color w:val="0000EE"/>
          </w:rPr>
          <w:t>reference to Exhibit 4.4 to Mobix Labs, Inc.’s Current Report on Form 8-K filed on December 28, 2023).</w:t>
        </w:r>
      </w:hyperlink>
    </w:p>
    <w:p>
      <w:pPr>
        <w:spacing w:after="0" w:line="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4.5</w:t>
      </w:r>
      <w:r>
        <w:rPr>
          <w:sz w:val="20"/>
          <w:szCs w:val="20"/>
          <w:color w:val="auto"/>
        </w:rPr>
        <w:tab/>
      </w:r>
      <w:hyperlink r:id="rId192">
        <w:r>
          <w:rPr>
            <w:rFonts w:ascii="Times New Roman" w:cs="Times New Roman" w:eastAsia="Times New Roman" w:hAnsi="Times New Roman"/>
            <w:sz w:val="14"/>
            <w:szCs w:val="14"/>
            <w:u w:val="single" w:color="auto"/>
            <w:color w:val="0000EE"/>
          </w:rPr>
          <w:t>Form of Pre-Funded Warrant, dated July 24, 2024 (incorporated by reference to Exhibit 4.1 to Mobix Labs, Inc.’s Current Report on Form 8-K filed on July 24, 2024).</w:t>
        </w:r>
      </w:hyperlink>
    </w:p>
    <w:p>
      <w:pPr>
        <w:spacing w:after="0" w:line="1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4.6</w:t>
      </w:r>
      <w:r>
        <w:rPr>
          <w:sz w:val="20"/>
          <w:szCs w:val="20"/>
          <w:color w:val="auto"/>
        </w:rPr>
        <w:tab/>
      </w:r>
      <w:hyperlink r:id="rId193">
        <w:r>
          <w:rPr>
            <w:rFonts w:ascii="Times New Roman" w:cs="Times New Roman" w:eastAsia="Times New Roman" w:hAnsi="Times New Roman"/>
            <w:sz w:val="14"/>
            <w:szCs w:val="14"/>
            <w:u w:val="single" w:color="auto"/>
            <w:color w:val="0000EE"/>
          </w:rPr>
          <w:t>Form of Placement Agent Warrant, dated July 24, 2024 (incorporated by reference to Exhibit 4.4 to Mobix Labs, Inc.’s Current Report on Form 8-K filed on July 24, 2024).</w:t>
        </w:r>
      </w:hyperlink>
    </w:p>
    <w:p>
      <w:pPr>
        <w:spacing w:after="0" w:line="1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4.7</w:t>
      </w:r>
      <w:r>
        <w:rPr>
          <w:sz w:val="20"/>
          <w:szCs w:val="20"/>
          <w:color w:val="auto"/>
        </w:rPr>
        <w:tab/>
      </w:r>
      <w:hyperlink r:id="rId194">
        <w:r>
          <w:rPr>
            <w:rFonts w:ascii="Times New Roman" w:cs="Times New Roman" w:eastAsia="Times New Roman" w:hAnsi="Times New Roman"/>
            <w:sz w:val="14"/>
            <w:szCs w:val="14"/>
            <w:u w:val="single" w:color="auto"/>
            <w:color w:val="0000EE"/>
          </w:rPr>
          <w:t>Form of Pre-Funded Warrant, dated April 7, 2025 (incorporated by reference to Exhibit 4.2 to Mobix Labs, Inc.’s Current Report on Form 8-K filed on April 7, 2025).</w:t>
        </w:r>
      </w:hyperlink>
    </w:p>
    <w:p>
      <w:pPr>
        <w:spacing w:after="0" w:line="1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4.8</w:t>
      </w:r>
      <w:r>
        <w:rPr>
          <w:sz w:val="20"/>
          <w:szCs w:val="20"/>
          <w:color w:val="auto"/>
        </w:rPr>
        <w:tab/>
      </w:r>
      <w:hyperlink r:id="rId195">
        <w:r>
          <w:rPr>
            <w:rFonts w:ascii="Times New Roman" w:cs="Times New Roman" w:eastAsia="Times New Roman" w:hAnsi="Times New Roman"/>
            <w:sz w:val="14"/>
            <w:szCs w:val="14"/>
            <w:u w:val="single" w:color="auto"/>
            <w:color w:val="0000EE"/>
          </w:rPr>
          <w:t>Form of Placement Agent Warrant, dated April 7, 2025 (incorporated by reference to Exhibit 4.3 to Mobix Labs, Inc.’s Current Report on Form 8-K filed on April 7, 2025).</w:t>
        </w:r>
      </w:hyperlink>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3" w:right="31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4.9</w:t>
            </w:r>
          </w:p>
        </w:tc>
        <w:tc>
          <w:tcPr>
            <w:tcW w:w="10660" w:type="dxa"/>
            <w:vAlign w:val="bottom"/>
            <w:gridSpan w:val="24"/>
          </w:tcPr>
          <w:p>
            <w:pPr>
              <w:spacing w:after="0"/>
              <w:rPr>
                <w:rFonts w:ascii="Times New Roman" w:cs="Times New Roman" w:eastAsia="Times New Roman" w:hAnsi="Times New Roman"/>
                <w:sz w:val="14"/>
                <w:szCs w:val="14"/>
                <w:color w:val="0000EE"/>
              </w:rPr>
            </w:pPr>
            <w:hyperlink r:id="rId197">
              <w:r>
                <w:rPr>
                  <w:rFonts w:ascii="Times New Roman" w:cs="Times New Roman" w:eastAsia="Times New Roman" w:hAnsi="Times New Roman"/>
                  <w:sz w:val="14"/>
                  <w:szCs w:val="14"/>
                  <w:color w:val="0000EE"/>
                </w:rPr>
                <w:t>Form of Placement Agent Warrant (incorporated by reference to Exhibit 4.3 to Mobix Labs, Inc.’s Current Report on Form 8-K filed on September 4, 2025).</w:t>
              </w:r>
            </w:hyperlink>
          </w:p>
        </w:tc>
      </w:tr>
      <w:tr>
        <w:trPr>
          <w:trHeight w:val="20"/>
        </w:trPr>
        <w:tc>
          <w:tcPr>
            <w:tcW w:w="6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4.10</w:t>
            </w:r>
          </w:p>
        </w:tc>
        <w:tc>
          <w:tcPr>
            <w:tcW w:w="10660" w:type="dxa"/>
            <w:vAlign w:val="bottom"/>
            <w:tcBorders>
              <w:bottom w:val="single" w:sz="8" w:color="0000EE"/>
            </w:tcBorders>
            <w:gridSpan w:val="24"/>
          </w:tcPr>
          <w:p>
            <w:pPr>
              <w:spacing w:after="0" w:line="152" w:lineRule="exact"/>
              <w:rPr>
                <w:rFonts w:ascii="Times New Roman" w:cs="Times New Roman" w:eastAsia="Times New Roman" w:hAnsi="Times New Roman"/>
                <w:sz w:val="14"/>
                <w:szCs w:val="14"/>
                <w:color w:val="0000EE"/>
              </w:rPr>
            </w:pPr>
            <w:hyperlink r:id="rId198">
              <w:r>
                <w:rPr>
                  <w:rFonts w:ascii="Times New Roman" w:cs="Times New Roman" w:eastAsia="Times New Roman" w:hAnsi="Times New Roman"/>
                  <w:sz w:val="14"/>
                  <w:szCs w:val="14"/>
                  <w:color w:val="0000EE"/>
                </w:rPr>
                <w:t>Form of Accredited Investor Warrant (incorporated by reference to Exhibit 4.15 to the Registrant’s Amendment No. 1 to the Registrant’s Registration Statement on Form S-1 (File No.</w:t>
              </w:r>
            </w:hyperlink>
          </w:p>
        </w:tc>
      </w:tr>
      <w:tr>
        <w:trPr>
          <w:trHeight w:val="152"/>
        </w:trPr>
        <w:tc>
          <w:tcPr>
            <w:tcW w:w="620" w:type="dxa"/>
            <w:vAlign w:val="bottom"/>
          </w:tcPr>
          <w:p>
            <w:pPr>
              <w:spacing w:after="0"/>
              <w:rPr>
                <w:sz w:val="13"/>
                <w:szCs w:val="13"/>
                <w:color w:val="auto"/>
              </w:rPr>
            </w:pPr>
          </w:p>
        </w:tc>
        <w:tc>
          <w:tcPr>
            <w:tcW w:w="3180" w:type="dxa"/>
            <w:vAlign w:val="bottom"/>
            <w:tcBorders>
              <w:bottom w:val="single" w:sz="8" w:color="0000EE"/>
            </w:tcBorders>
            <w:gridSpan w:val="5"/>
          </w:tcPr>
          <w:p>
            <w:pPr>
              <w:spacing w:after="0" w:line="152" w:lineRule="exact"/>
              <w:rPr>
                <w:rFonts w:ascii="Times New Roman" w:cs="Times New Roman" w:eastAsia="Times New Roman" w:hAnsi="Times New Roman"/>
                <w:sz w:val="14"/>
                <w:szCs w:val="14"/>
                <w:color w:val="0000EE"/>
              </w:rPr>
            </w:pPr>
            <w:hyperlink r:id="rId198">
              <w:r>
                <w:rPr>
                  <w:rFonts w:ascii="Times New Roman" w:cs="Times New Roman" w:eastAsia="Times New Roman" w:hAnsi="Times New Roman"/>
                  <w:sz w:val="14"/>
                  <w:szCs w:val="14"/>
                  <w:color w:val="0000EE"/>
                </w:rPr>
                <w:t>333-287493), filed with the SEC on October 14, 2025).</w:t>
              </w:r>
            </w:hyperlink>
          </w:p>
        </w:tc>
        <w:tc>
          <w:tcPr>
            <w:tcW w:w="7480" w:type="dxa"/>
            <w:vAlign w:val="bottom"/>
            <w:gridSpan w:val="19"/>
          </w:tcPr>
          <w:p>
            <w:pPr>
              <w:spacing w:after="0"/>
              <w:rPr>
                <w:sz w:val="13"/>
                <w:szCs w:val="13"/>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4.11</w:t>
            </w:r>
          </w:p>
        </w:tc>
        <w:tc>
          <w:tcPr>
            <w:tcW w:w="9780" w:type="dxa"/>
            <w:vAlign w:val="bottom"/>
            <w:tcBorders>
              <w:bottom w:val="single" w:sz="8" w:color="0000EE"/>
            </w:tcBorders>
            <w:gridSpan w:val="20"/>
          </w:tcPr>
          <w:p>
            <w:pPr>
              <w:spacing w:after="0" w:line="152" w:lineRule="exact"/>
              <w:rPr>
                <w:rFonts w:ascii="Times New Roman" w:cs="Times New Roman" w:eastAsia="Times New Roman" w:hAnsi="Times New Roman"/>
                <w:sz w:val="14"/>
                <w:szCs w:val="14"/>
                <w:color w:val="0000EE"/>
              </w:rPr>
            </w:pPr>
            <w:hyperlink r:id="rId199">
              <w:r>
                <w:rPr>
                  <w:rFonts w:ascii="Times New Roman" w:cs="Times New Roman" w:eastAsia="Times New Roman" w:hAnsi="Times New Roman"/>
                  <w:sz w:val="14"/>
                  <w:szCs w:val="14"/>
                  <w:color w:val="0000EE"/>
                </w:rPr>
                <w:t>Form of Amended and Restated Series A Warrant (incorporated by reference to Exhibit 4.1 to Mobix Labs, Inc.’s Current Report on Form 8-K filed on October 30, 2025).</w:t>
              </w:r>
            </w:hyperlink>
          </w:p>
        </w:tc>
        <w:tc>
          <w:tcPr>
            <w:tcW w:w="880" w:type="dxa"/>
            <w:vAlign w:val="bottom"/>
            <w:gridSpan w:val="4"/>
          </w:tcPr>
          <w:p>
            <w:pPr>
              <w:spacing w:after="0"/>
              <w:rPr>
                <w:sz w:val="13"/>
                <w:szCs w:val="13"/>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4.12</w:t>
            </w:r>
          </w:p>
        </w:tc>
        <w:tc>
          <w:tcPr>
            <w:tcW w:w="10660" w:type="dxa"/>
            <w:vAlign w:val="bottom"/>
            <w:gridSpan w:val="24"/>
          </w:tcPr>
          <w:p>
            <w:pPr>
              <w:spacing w:after="0" w:line="152" w:lineRule="exact"/>
              <w:rPr>
                <w:rFonts w:ascii="Times New Roman" w:cs="Times New Roman" w:eastAsia="Times New Roman" w:hAnsi="Times New Roman"/>
                <w:sz w:val="14"/>
                <w:szCs w:val="14"/>
                <w:color w:val="0000EE"/>
              </w:rPr>
            </w:pPr>
            <w:hyperlink r:id="rId200">
              <w:r>
                <w:rPr>
                  <w:rFonts w:ascii="Times New Roman" w:cs="Times New Roman" w:eastAsia="Times New Roman" w:hAnsi="Times New Roman"/>
                  <w:sz w:val="14"/>
                  <w:szCs w:val="14"/>
                  <w:color w:val="0000EE"/>
                </w:rPr>
                <w:t>Form of Amended and Restated Series B Warrant (incorporated by reference to Exhibit 4.2 to Mobix Labs, Inc.’s Current Report on Form 8-K filed on October 30, 2025).</w:t>
              </w:r>
            </w:hyperlink>
          </w:p>
        </w:tc>
      </w:tr>
      <w:tr>
        <w:trPr>
          <w:trHeight w:val="20"/>
        </w:trPr>
        <w:tc>
          <w:tcPr>
            <w:tcW w:w="6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4.13</w:t>
            </w:r>
          </w:p>
        </w:tc>
        <w:tc>
          <w:tcPr>
            <w:tcW w:w="9940" w:type="dxa"/>
            <w:vAlign w:val="bottom"/>
            <w:tcBorders>
              <w:bottom w:val="single" w:sz="8" w:color="0000EE"/>
            </w:tcBorders>
            <w:gridSpan w:val="21"/>
          </w:tcPr>
          <w:p>
            <w:pPr>
              <w:spacing w:after="0" w:line="152" w:lineRule="exact"/>
              <w:rPr>
                <w:rFonts w:ascii="Times New Roman" w:cs="Times New Roman" w:eastAsia="Times New Roman" w:hAnsi="Times New Roman"/>
                <w:sz w:val="14"/>
                <w:szCs w:val="14"/>
                <w:color w:val="0000EE"/>
              </w:rPr>
            </w:pPr>
            <w:hyperlink r:id="rId201">
              <w:r>
                <w:rPr>
                  <w:rFonts w:ascii="Times New Roman" w:cs="Times New Roman" w:eastAsia="Times New Roman" w:hAnsi="Times New Roman"/>
                  <w:sz w:val="14"/>
                  <w:szCs w:val="14"/>
                  <w:color w:val="0000EE"/>
                </w:rPr>
                <w:t>Form of Amended and Restated Common Warrant (incorporated by reference to Exhibit 4.13 to Mobix Labs, Inc.’s Annual Report on Form 10-K filed on January 13, 2026).</w:t>
              </w:r>
            </w:hyperlink>
          </w:p>
        </w:tc>
        <w:tc>
          <w:tcPr>
            <w:tcW w:w="720" w:type="dxa"/>
            <w:vAlign w:val="bottom"/>
            <w:gridSpan w:val="3"/>
          </w:tcPr>
          <w:p>
            <w:pPr>
              <w:spacing w:after="0"/>
              <w:rPr>
                <w:sz w:val="13"/>
                <w:szCs w:val="13"/>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4.14</w:t>
            </w:r>
          </w:p>
        </w:tc>
        <w:tc>
          <w:tcPr>
            <w:tcW w:w="10660" w:type="dxa"/>
            <w:vAlign w:val="bottom"/>
            <w:gridSpan w:val="24"/>
          </w:tcPr>
          <w:p>
            <w:pPr>
              <w:spacing w:after="0" w:line="152" w:lineRule="exact"/>
              <w:rPr>
                <w:rFonts w:ascii="Times New Roman" w:cs="Times New Roman" w:eastAsia="Times New Roman" w:hAnsi="Times New Roman"/>
                <w:sz w:val="14"/>
                <w:szCs w:val="14"/>
                <w:color w:val="0000EE"/>
              </w:rPr>
            </w:pPr>
            <w:hyperlink r:id="rId202">
              <w:r>
                <w:rPr>
                  <w:rFonts w:ascii="Times New Roman" w:cs="Times New Roman" w:eastAsia="Times New Roman" w:hAnsi="Times New Roman"/>
                  <w:sz w:val="14"/>
                  <w:szCs w:val="14"/>
                  <w:color w:val="0000EE"/>
                </w:rPr>
                <w:t>Form of Amended and Restated Inducement Warrant (incorporated by reference to Exhibit 4.4 to Mobix Labs, Inc.’s Current Report on Form 8-K filed on October 30, 2025).</w:t>
              </w:r>
            </w:hyperlink>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4.15</w:t>
            </w:r>
          </w:p>
        </w:tc>
        <w:tc>
          <w:tcPr>
            <w:tcW w:w="9960" w:type="dxa"/>
            <w:vAlign w:val="bottom"/>
            <w:tcBorders>
              <w:top w:val="single" w:sz="8" w:color="0000EE"/>
            </w:tcBorders>
            <w:gridSpan w:val="22"/>
          </w:tcPr>
          <w:p>
            <w:pPr>
              <w:spacing w:after="0" w:line="152" w:lineRule="exact"/>
              <w:rPr>
                <w:rFonts w:ascii="Times New Roman" w:cs="Times New Roman" w:eastAsia="Times New Roman" w:hAnsi="Times New Roman"/>
                <w:sz w:val="14"/>
                <w:szCs w:val="14"/>
                <w:color w:val="0000EE"/>
              </w:rPr>
            </w:pPr>
            <w:hyperlink r:id="rId203">
              <w:r>
                <w:rPr>
                  <w:rFonts w:ascii="Times New Roman" w:cs="Times New Roman" w:eastAsia="Times New Roman" w:hAnsi="Times New Roman"/>
                  <w:sz w:val="14"/>
                  <w:szCs w:val="14"/>
                  <w:color w:val="0000EE"/>
                </w:rPr>
                <w:t>Form of Warrant (incorporated by reference to Exhibit 4.5 to Mobix Labs, Inc.’s Current Report on Form 8-K filed on October 30, 2025).</w:t>
              </w:r>
            </w:hyperlink>
          </w:p>
        </w:tc>
        <w:tc>
          <w:tcPr>
            <w:tcW w:w="700" w:type="dxa"/>
            <w:vAlign w:val="bottom"/>
            <w:gridSpan w:val="2"/>
          </w:tcPr>
          <w:p>
            <w:pPr>
              <w:spacing w:after="0"/>
              <w:rPr>
                <w:sz w:val="13"/>
                <w:szCs w:val="13"/>
                <w:color w:val="auto"/>
              </w:rPr>
            </w:pPr>
          </w:p>
        </w:tc>
      </w:tr>
      <w:tr>
        <w:trPr>
          <w:trHeight w:val="20"/>
        </w:trPr>
        <w:tc>
          <w:tcPr>
            <w:tcW w:w="6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4.16</w:t>
            </w:r>
          </w:p>
        </w:tc>
        <w:tc>
          <w:tcPr>
            <w:tcW w:w="10660" w:type="dxa"/>
            <w:vAlign w:val="bottom"/>
            <w:tcBorders>
              <w:bottom w:val="single" w:sz="8" w:color="0000EE"/>
            </w:tcBorders>
            <w:gridSpan w:val="24"/>
          </w:tcPr>
          <w:p>
            <w:pPr>
              <w:spacing w:after="0" w:line="152" w:lineRule="exact"/>
              <w:rPr>
                <w:rFonts w:ascii="Times New Roman" w:cs="Times New Roman" w:eastAsia="Times New Roman" w:hAnsi="Times New Roman"/>
                <w:sz w:val="14"/>
                <w:szCs w:val="14"/>
                <w:color w:val="0000EE"/>
              </w:rPr>
            </w:pPr>
            <w:hyperlink r:id="rId204">
              <w:r>
                <w:rPr>
                  <w:rFonts w:ascii="Times New Roman" w:cs="Times New Roman" w:eastAsia="Times New Roman" w:hAnsi="Times New Roman"/>
                  <w:sz w:val="14"/>
                  <w:szCs w:val="14"/>
                  <w:color w:val="0000EE"/>
                </w:rPr>
                <w:t>Senior Secured Convertible Promissory Note in favor of Leviston Resources, LLC dated as of March 31, 2026 (incorporated by reference to Exhibit 4.17 to the Registrant’s Registration</w:t>
              </w:r>
            </w:hyperlink>
          </w:p>
        </w:tc>
      </w:tr>
      <w:tr>
        <w:trPr>
          <w:trHeight w:val="152"/>
        </w:trPr>
        <w:tc>
          <w:tcPr>
            <w:tcW w:w="620" w:type="dxa"/>
            <w:vAlign w:val="bottom"/>
          </w:tcPr>
          <w:p>
            <w:pPr>
              <w:spacing w:after="0"/>
              <w:rPr>
                <w:sz w:val="13"/>
                <w:szCs w:val="13"/>
                <w:color w:val="auto"/>
              </w:rPr>
            </w:pPr>
          </w:p>
        </w:tc>
        <w:tc>
          <w:tcPr>
            <w:tcW w:w="4940" w:type="dxa"/>
            <w:vAlign w:val="bottom"/>
            <w:tcBorders>
              <w:bottom w:val="single" w:sz="8" w:color="0000EE"/>
            </w:tcBorders>
            <w:gridSpan w:val="8"/>
          </w:tcPr>
          <w:p>
            <w:pPr>
              <w:spacing w:after="0" w:line="152" w:lineRule="exact"/>
              <w:rPr>
                <w:rFonts w:ascii="Times New Roman" w:cs="Times New Roman" w:eastAsia="Times New Roman" w:hAnsi="Times New Roman"/>
                <w:sz w:val="14"/>
                <w:szCs w:val="14"/>
                <w:color w:val="0000EE"/>
              </w:rPr>
            </w:pPr>
            <w:hyperlink r:id="rId204">
              <w:r>
                <w:rPr>
                  <w:rFonts w:ascii="Times New Roman" w:cs="Times New Roman" w:eastAsia="Times New Roman" w:hAnsi="Times New Roman"/>
                  <w:sz w:val="14"/>
                  <w:szCs w:val="14"/>
                  <w:color w:val="0000EE"/>
                </w:rPr>
                <w:t>Statement on Form S-1 (File No. 333-295357), filed with the SEC on April 27, 2026).</w:t>
              </w:r>
            </w:hyperlink>
          </w:p>
        </w:tc>
        <w:tc>
          <w:tcPr>
            <w:tcW w:w="5720" w:type="dxa"/>
            <w:vAlign w:val="bottom"/>
            <w:gridSpan w:val="16"/>
          </w:tcPr>
          <w:p>
            <w:pPr>
              <w:spacing w:after="0"/>
              <w:rPr>
                <w:sz w:val="13"/>
                <w:szCs w:val="13"/>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4.17</w:t>
            </w:r>
          </w:p>
        </w:tc>
        <w:tc>
          <w:tcPr>
            <w:tcW w:w="10660" w:type="dxa"/>
            <w:vAlign w:val="bottom"/>
            <w:tcBorders>
              <w:bottom w:val="single" w:sz="8" w:color="0000EE"/>
            </w:tcBorders>
            <w:gridSpan w:val="24"/>
          </w:tcPr>
          <w:p>
            <w:pPr>
              <w:spacing w:after="0" w:line="152" w:lineRule="exact"/>
              <w:rPr>
                <w:rFonts w:ascii="Times New Roman" w:cs="Times New Roman" w:eastAsia="Times New Roman" w:hAnsi="Times New Roman"/>
                <w:sz w:val="14"/>
                <w:szCs w:val="14"/>
                <w:color w:val="0000EE"/>
              </w:rPr>
            </w:pPr>
            <w:hyperlink r:id="rId205">
              <w:r>
                <w:rPr>
                  <w:rFonts w:ascii="Times New Roman" w:cs="Times New Roman" w:eastAsia="Times New Roman" w:hAnsi="Times New Roman"/>
                  <w:sz w:val="14"/>
                  <w:szCs w:val="14"/>
                  <w:color w:val="0000EE"/>
                </w:rPr>
                <w:t>First Amendment to Securities Purchase Agreement and Senior Secured Convertible Promissory Note in favor of Leviston Resources, LLC dated as of May 13, 2026 (incorporated by</w:t>
              </w:r>
            </w:hyperlink>
          </w:p>
        </w:tc>
      </w:tr>
      <w:tr>
        <w:trPr>
          <w:trHeight w:val="152"/>
        </w:trPr>
        <w:tc>
          <w:tcPr>
            <w:tcW w:w="620" w:type="dxa"/>
            <w:vAlign w:val="bottom"/>
          </w:tcPr>
          <w:p>
            <w:pPr>
              <w:spacing w:after="0"/>
              <w:rPr>
                <w:sz w:val="13"/>
                <w:szCs w:val="13"/>
                <w:color w:val="auto"/>
              </w:rPr>
            </w:pPr>
          </w:p>
        </w:tc>
        <w:tc>
          <w:tcPr>
            <w:tcW w:w="5900" w:type="dxa"/>
            <w:vAlign w:val="bottom"/>
            <w:tcBorders>
              <w:bottom w:val="single" w:sz="8" w:color="0000EE"/>
            </w:tcBorders>
            <w:gridSpan w:val="11"/>
          </w:tcPr>
          <w:p>
            <w:pPr>
              <w:spacing w:after="0" w:line="152" w:lineRule="exact"/>
              <w:rPr>
                <w:rFonts w:ascii="Times New Roman" w:cs="Times New Roman" w:eastAsia="Times New Roman" w:hAnsi="Times New Roman"/>
                <w:sz w:val="14"/>
                <w:szCs w:val="14"/>
                <w:color w:val="0000EE"/>
              </w:rPr>
            </w:pPr>
            <w:hyperlink r:id="rId205">
              <w:r>
                <w:rPr>
                  <w:rFonts w:ascii="Times New Roman" w:cs="Times New Roman" w:eastAsia="Times New Roman" w:hAnsi="Times New Roman"/>
                  <w:sz w:val="14"/>
                  <w:szCs w:val="14"/>
                  <w:color w:val="0000EE"/>
                </w:rPr>
                <w:t>reference to Exhibit 4.2 of Mobix Labs, Inc.’s Quarterly Report on Form 10-Q filed on May 20, 2026).</w:t>
              </w:r>
            </w:hyperlink>
          </w:p>
        </w:tc>
        <w:tc>
          <w:tcPr>
            <w:tcW w:w="4760" w:type="dxa"/>
            <w:vAlign w:val="bottom"/>
            <w:gridSpan w:val="13"/>
          </w:tcPr>
          <w:p>
            <w:pPr>
              <w:spacing w:after="0"/>
              <w:rPr>
                <w:sz w:val="13"/>
                <w:szCs w:val="13"/>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4.18</w:t>
            </w:r>
          </w:p>
        </w:tc>
        <w:tc>
          <w:tcPr>
            <w:tcW w:w="10660" w:type="dxa"/>
            <w:vAlign w:val="bottom"/>
            <w:tcBorders>
              <w:bottom w:val="single" w:sz="8" w:color="0000EE"/>
            </w:tcBorders>
            <w:gridSpan w:val="24"/>
          </w:tcPr>
          <w:p>
            <w:pPr>
              <w:spacing w:after="0" w:line="152" w:lineRule="exact"/>
              <w:rPr>
                <w:rFonts w:ascii="Times New Roman" w:cs="Times New Roman" w:eastAsia="Times New Roman" w:hAnsi="Times New Roman"/>
                <w:sz w:val="14"/>
                <w:szCs w:val="14"/>
                <w:color w:val="0000EE"/>
              </w:rPr>
            </w:pPr>
            <w:hyperlink r:id="rId206">
              <w:r>
                <w:rPr>
                  <w:rFonts w:ascii="Times New Roman" w:cs="Times New Roman" w:eastAsia="Times New Roman" w:hAnsi="Times New Roman"/>
                  <w:sz w:val="14"/>
                  <w:szCs w:val="14"/>
                  <w:color w:val="0000EE"/>
                </w:rPr>
                <w:t>Preferred Stock Purchase Warrant, dated May 19, 2026, in favor of Kips Bay Select, LP (incorporated by reference to Exhibit 4.3 of Mobix Labs, Inc.’s Quarterly Report on Form 10-Q</w:t>
              </w:r>
            </w:hyperlink>
          </w:p>
        </w:tc>
      </w:tr>
      <w:tr>
        <w:trPr>
          <w:trHeight w:val="152"/>
        </w:trPr>
        <w:tc>
          <w:tcPr>
            <w:tcW w:w="620" w:type="dxa"/>
            <w:vAlign w:val="bottom"/>
          </w:tcPr>
          <w:p>
            <w:pPr>
              <w:spacing w:after="0"/>
              <w:rPr>
                <w:sz w:val="13"/>
                <w:szCs w:val="13"/>
                <w:color w:val="auto"/>
              </w:rPr>
            </w:pPr>
          </w:p>
        </w:tc>
        <w:tc>
          <w:tcPr>
            <w:tcW w:w="10660" w:type="dxa"/>
            <w:vAlign w:val="bottom"/>
            <w:gridSpan w:val="24"/>
          </w:tcPr>
          <w:p>
            <w:pPr>
              <w:spacing w:after="0" w:line="152" w:lineRule="exact"/>
              <w:rPr>
                <w:rFonts w:ascii="Times New Roman" w:cs="Times New Roman" w:eastAsia="Times New Roman" w:hAnsi="Times New Roman"/>
                <w:sz w:val="14"/>
                <w:szCs w:val="14"/>
                <w:color w:val="0000EE"/>
              </w:rPr>
            </w:pPr>
            <w:hyperlink r:id="rId206">
              <w:r>
                <w:rPr>
                  <w:rFonts w:ascii="Times New Roman" w:cs="Times New Roman" w:eastAsia="Times New Roman" w:hAnsi="Times New Roman"/>
                  <w:sz w:val="14"/>
                  <w:szCs w:val="14"/>
                  <w:color w:val="0000EE"/>
                </w:rPr>
                <w:t>filed on May 20, 2026).</w:t>
              </w:r>
            </w:hyperlink>
          </w:p>
        </w:tc>
      </w:tr>
      <w:tr>
        <w:trPr>
          <w:trHeight w:val="20"/>
        </w:trPr>
        <w:tc>
          <w:tcPr>
            <w:tcW w:w="62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4.19</w:t>
            </w:r>
          </w:p>
        </w:tc>
        <w:tc>
          <w:tcPr>
            <w:tcW w:w="10660" w:type="dxa"/>
            <w:vAlign w:val="bottom"/>
            <w:tcBorders>
              <w:bottom w:val="single" w:sz="8" w:color="0000EE"/>
            </w:tcBorders>
            <w:gridSpan w:val="24"/>
          </w:tcPr>
          <w:p>
            <w:pPr>
              <w:spacing w:after="0" w:line="152" w:lineRule="exact"/>
              <w:rPr>
                <w:rFonts w:ascii="Times New Roman" w:cs="Times New Roman" w:eastAsia="Times New Roman" w:hAnsi="Times New Roman"/>
                <w:sz w:val="14"/>
                <w:szCs w:val="14"/>
                <w:color w:val="0000EE"/>
              </w:rPr>
            </w:pPr>
            <w:hyperlink r:id="rId207">
              <w:r>
                <w:rPr>
                  <w:rFonts w:ascii="Times New Roman" w:cs="Times New Roman" w:eastAsia="Times New Roman" w:hAnsi="Times New Roman"/>
                  <w:sz w:val="14"/>
                  <w:szCs w:val="14"/>
                  <w:color w:val="0000EE"/>
                </w:rPr>
                <w:t>Preferred Stock Purchase Warrant, dated August 28, 2026, in favor of Kips Bay Select, LP (incorporated by reference to Exhibit 4.2 of Mobix Labs, Inc.’s Current Report on Form 8-K</w:t>
              </w:r>
            </w:hyperlink>
          </w:p>
        </w:tc>
      </w:tr>
      <w:tr>
        <w:trPr>
          <w:trHeight w:val="152"/>
        </w:trPr>
        <w:tc>
          <w:tcPr>
            <w:tcW w:w="620" w:type="dxa"/>
            <w:vAlign w:val="bottom"/>
          </w:tcPr>
          <w:p>
            <w:pPr>
              <w:spacing w:after="0"/>
              <w:rPr>
                <w:sz w:val="13"/>
                <w:szCs w:val="13"/>
                <w:color w:val="auto"/>
              </w:rPr>
            </w:pPr>
          </w:p>
        </w:tc>
        <w:tc>
          <w:tcPr>
            <w:tcW w:w="1520" w:type="dxa"/>
            <w:vAlign w:val="bottom"/>
            <w:tcBorders>
              <w:bottom w:val="single" w:sz="8" w:color="0000EE"/>
            </w:tcBorders>
            <w:gridSpan w:val="2"/>
          </w:tcPr>
          <w:p>
            <w:pPr>
              <w:spacing w:after="0" w:line="152" w:lineRule="exact"/>
              <w:rPr>
                <w:rFonts w:ascii="Times New Roman" w:cs="Times New Roman" w:eastAsia="Times New Roman" w:hAnsi="Times New Roman"/>
                <w:sz w:val="14"/>
                <w:szCs w:val="14"/>
                <w:color w:val="0000EE"/>
              </w:rPr>
            </w:pPr>
            <w:hyperlink r:id="rId207">
              <w:r>
                <w:rPr>
                  <w:rFonts w:ascii="Times New Roman" w:cs="Times New Roman" w:eastAsia="Times New Roman" w:hAnsi="Times New Roman"/>
                  <w:sz w:val="14"/>
                  <w:szCs w:val="14"/>
                  <w:color w:val="0000EE"/>
                </w:rPr>
                <w:t>filed on August 28, 2026).</w:t>
              </w:r>
            </w:hyperlink>
          </w:p>
        </w:tc>
        <w:tc>
          <w:tcPr>
            <w:tcW w:w="9140" w:type="dxa"/>
            <w:vAlign w:val="bottom"/>
            <w:gridSpan w:val="22"/>
          </w:tcPr>
          <w:p>
            <w:pPr>
              <w:spacing w:after="0"/>
              <w:rPr>
                <w:sz w:val="13"/>
                <w:szCs w:val="13"/>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4.20</w:t>
            </w:r>
          </w:p>
        </w:tc>
        <w:tc>
          <w:tcPr>
            <w:tcW w:w="10660" w:type="dxa"/>
            <w:vAlign w:val="bottom"/>
            <w:tcBorders>
              <w:bottom w:val="single" w:sz="8" w:color="0000EE"/>
            </w:tcBorders>
            <w:gridSpan w:val="24"/>
          </w:tcPr>
          <w:p>
            <w:pPr>
              <w:spacing w:after="0" w:line="152" w:lineRule="exact"/>
              <w:rPr>
                <w:rFonts w:ascii="Times New Roman" w:cs="Times New Roman" w:eastAsia="Times New Roman" w:hAnsi="Times New Roman"/>
                <w:sz w:val="14"/>
                <w:szCs w:val="14"/>
                <w:color w:val="0000EE"/>
              </w:rPr>
            </w:pPr>
            <w:hyperlink r:id="rId208">
              <w:r>
                <w:rPr>
                  <w:rFonts w:ascii="Times New Roman" w:cs="Times New Roman" w:eastAsia="Times New Roman" w:hAnsi="Times New Roman"/>
                  <w:sz w:val="14"/>
                  <w:szCs w:val="14"/>
                  <w:color w:val="0000EE"/>
                </w:rPr>
                <w:t>Certificate of Designation of Series A 10% Convertible Preferred Stock (incorporated by reference to Exhibit 4.20 to the Registrant’s Registration Statement on Form S-1 (File No. 333-</w:t>
              </w:r>
            </w:hyperlink>
          </w:p>
        </w:tc>
      </w:tr>
      <w:tr>
        <w:trPr>
          <w:trHeight w:val="152"/>
        </w:trPr>
        <w:tc>
          <w:tcPr>
            <w:tcW w:w="620" w:type="dxa"/>
            <w:vAlign w:val="bottom"/>
          </w:tcPr>
          <w:p>
            <w:pPr>
              <w:spacing w:after="0"/>
              <w:rPr>
                <w:sz w:val="13"/>
                <w:szCs w:val="13"/>
                <w:color w:val="auto"/>
              </w:rPr>
            </w:pPr>
          </w:p>
        </w:tc>
        <w:tc>
          <w:tcPr>
            <w:tcW w:w="2680" w:type="dxa"/>
            <w:vAlign w:val="bottom"/>
            <w:tcBorders>
              <w:bottom w:val="single" w:sz="8" w:color="0000EE"/>
            </w:tcBorders>
            <w:gridSpan w:val="3"/>
          </w:tcPr>
          <w:p>
            <w:pPr>
              <w:spacing w:after="0" w:line="152" w:lineRule="exact"/>
              <w:rPr>
                <w:rFonts w:ascii="Times New Roman" w:cs="Times New Roman" w:eastAsia="Times New Roman" w:hAnsi="Times New Roman"/>
                <w:sz w:val="14"/>
                <w:szCs w:val="14"/>
                <w:color w:val="0000EE"/>
              </w:rPr>
            </w:pPr>
            <w:hyperlink r:id="rId208">
              <w:r>
                <w:rPr>
                  <w:rFonts w:ascii="Times New Roman" w:cs="Times New Roman" w:eastAsia="Times New Roman" w:hAnsi="Times New Roman"/>
                  <w:sz w:val="14"/>
                  <w:szCs w:val="14"/>
                  <w:color w:val="0000EE"/>
                </w:rPr>
                <w:t>296928) filed with the SEC on June 22, 2026).</w:t>
              </w:r>
            </w:hyperlink>
          </w:p>
        </w:tc>
        <w:tc>
          <w:tcPr>
            <w:tcW w:w="7980" w:type="dxa"/>
            <w:vAlign w:val="bottom"/>
            <w:gridSpan w:val="21"/>
          </w:tcPr>
          <w:p>
            <w:pPr>
              <w:spacing w:after="0"/>
              <w:rPr>
                <w:sz w:val="13"/>
                <w:szCs w:val="13"/>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4.21</w:t>
            </w:r>
          </w:p>
        </w:tc>
        <w:tc>
          <w:tcPr>
            <w:tcW w:w="10660" w:type="dxa"/>
            <w:vAlign w:val="bottom"/>
            <w:tcBorders>
              <w:bottom w:val="single" w:sz="8" w:color="0000EE"/>
            </w:tcBorders>
            <w:gridSpan w:val="24"/>
          </w:tcPr>
          <w:p>
            <w:pPr>
              <w:spacing w:after="0" w:line="152" w:lineRule="exact"/>
              <w:rPr>
                <w:rFonts w:ascii="Times New Roman" w:cs="Times New Roman" w:eastAsia="Times New Roman" w:hAnsi="Times New Roman"/>
                <w:sz w:val="14"/>
                <w:szCs w:val="14"/>
                <w:color w:val="0000EE"/>
              </w:rPr>
            </w:pPr>
            <w:hyperlink r:id="rId209">
              <w:r>
                <w:rPr>
                  <w:rFonts w:ascii="Times New Roman" w:cs="Times New Roman" w:eastAsia="Times New Roman" w:hAnsi="Times New Roman"/>
                  <w:sz w:val="14"/>
                  <w:szCs w:val="14"/>
                  <w:color w:val="0000EE"/>
                </w:rPr>
                <w:t>Amended and Restated Senior Secured Convertible Promissory Note in favor of Leviston Resources, LLC dated as of June 22, 2026 (incorporated by reference to Exhibit 4.1 of Mobix</w:t>
              </w:r>
            </w:hyperlink>
          </w:p>
        </w:tc>
      </w:tr>
      <w:tr>
        <w:trPr>
          <w:trHeight w:val="152"/>
        </w:trPr>
        <w:tc>
          <w:tcPr>
            <w:tcW w:w="620" w:type="dxa"/>
            <w:vAlign w:val="bottom"/>
          </w:tcPr>
          <w:p>
            <w:pPr>
              <w:spacing w:after="0"/>
              <w:rPr>
                <w:sz w:val="13"/>
                <w:szCs w:val="13"/>
                <w:color w:val="auto"/>
              </w:rPr>
            </w:pPr>
          </w:p>
        </w:tc>
        <w:tc>
          <w:tcPr>
            <w:tcW w:w="10660" w:type="dxa"/>
            <w:vAlign w:val="bottom"/>
            <w:gridSpan w:val="24"/>
          </w:tcPr>
          <w:p>
            <w:pPr>
              <w:spacing w:after="0" w:line="152" w:lineRule="exact"/>
              <w:rPr>
                <w:rFonts w:ascii="Times New Roman" w:cs="Times New Roman" w:eastAsia="Times New Roman" w:hAnsi="Times New Roman"/>
                <w:sz w:val="14"/>
                <w:szCs w:val="14"/>
                <w:color w:val="0000EE"/>
              </w:rPr>
            </w:pPr>
            <w:hyperlink r:id="rId209">
              <w:r>
                <w:rPr>
                  <w:rFonts w:ascii="Times New Roman" w:cs="Times New Roman" w:eastAsia="Times New Roman" w:hAnsi="Times New Roman"/>
                  <w:sz w:val="14"/>
                  <w:szCs w:val="14"/>
                  <w:color w:val="0000EE"/>
                </w:rPr>
                <w:t>Labs, Inc.’s Current Report on Form 8-K filed on June 26, 2026).</w:t>
              </w:r>
            </w:hyperlink>
          </w:p>
        </w:tc>
      </w:tr>
      <w:tr>
        <w:trPr>
          <w:trHeight w:val="20"/>
        </w:trPr>
        <w:tc>
          <w:tcPr>
            <w:tcW w:w="620" w:type="dxa"/>
            <w:vAlign w:val="bottom"/>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4.22</w:t>
            </w:r>
          </w:p>
        </w:tc>
        <w:tc>
          <w:tcPr>
            <w:tcW w:w="10660" w:type="dxa"/>
            <w:vAlign w:val="bottom"/>
            <w:tcBorders>
              <w:bottom w:val="single" w:sz="8" w:color="0000EE"/>
            </w:tcBorders>
            <w:gridSpan w:val="24"/>
          </w:tcPr>
          <w:p>
            <w:pPr>
              <w:spacing w:after="0" w:line="152" w:lineRule="exact"/>
              <w:rPr>
                <w:rFonts w:ascii="Times New Roman" w:cs="Times New Roman" w:eastAsia="Times New Roman" w:hAnsi="Times New Roman"/>
                <w:sz w:val="14"/>
                <w:szCs w:val="14"/>
                <w:color w:val="0000EE"/>
              </w:rPr>
            </w:pPr>
            <w:hyperlink r:id="rId210">
              <w:r>
                <w:rPr>
                  <w:rFonts w:ascii="Times New Roman" w:cs="Times New Roman" w:eastAsia="Times New Roman" w:hAnsi="Times New Roman"/>
                  <w:sz w:val="14"/>
                  <w:szCs w:val="14"/>
                  <w:color w:val="0000EE"/>
                </w:rPr>
                <w:t>Senior Secured Convertible Promissory Note in favor of Leviston Resources, LLC dated as of August 28, 2026 (incorporated by reference to Exhibit 4.1 of Mobix Labs, Inc.’s Current</w:t>
              </w:r>
            </w:hyperlink>
          </w:p>
        </w:tc>
      </w:tr>
      <w:tr>
        <w:trPr>
          <w:trHeight w:val="152"/>
        </w:trPr>
        <w:tc>
          <w:tcPr>
            <w:tcW w:w="620" w:type="dxa"/>
            <w:vAlign w:val="bottom"/>
          </w:tcPr>
          <w:p>
            <w:pPr>
              <w:spacing w:after="0"/>
              <w:rPr>
                <w:sz w:val="13"/>
                <w:szCs w:val="13"/>
                <w:color w:val="auto"/>
              </w:rPr>
            </w:pPr>
          </w:p>
        </w:tc>
        <w:tc>
          <w:tcPr>
            <w:tcW w:w="10660" w:type="dxa"/>
            <w:vAlign w:val="bottom"/>
            <w:gridSpan w:val="24"/>
          </w:tcPr>
          <w:p>
            <w:pPr>
              <w:spacing w:after="0" w:line="152" w:lineRule="exact"/>
              <w:rPr>
                <w:rFonts w:ascii="Times New Roman" w:cs="Times New Roman" w:eastAsia="Times New Roman" w:hAnsi="Times New Roman"/>
                <w:sz w:val="14"/>
                <w:szCs w:val="14"/>
                <w:color w:val="0000EE"/>
              </w:rPr>
            </w:pPr>
            <w:hyperlink r:id="rId210">
              <w:r>
                <w:rPr>
                  <w:rFonts w:ascii="Times New Roman" w:cs="Times New Roman" w:eastAsia="Times New Roman" w:hAnsi="Times New Roman"/>
                  <w:sz w:val="14"/>
                  <w:szCs w:val="14"/>
                  <w:color w:val="0000EE"/>
                </w:rPr>
                <w:t>Report on Form 8-K filed on August 28, 2026).</w:t>
              </w:r>
            </w:hyperlink>
          </w:p>
        </w:tc>
      </w:tr>
      <w:tr>
        <w:trPr>
          <w:trHeight w:val="20"/>
        </w:trPr>
        <w:tc>
          <w:tcPr>
            <w:tcW w:w="620" w:type="dxa"/>
            <w:vAlign w:val="bottom"/>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5.1*</w:t>
            </w:r>
          </w:p>
        </w:tc>
        <w:tc>
          <w:tcPr>
            <w:tcW w:w="10660" w:type="dxa"/>
            <w:vAlign w:val="bottom"/>
            <w:gridSpan w:val="24"/>
          </w:tcPr>
          <w:p>
            <w:pPr>
              <w:spacing w:after="0" w:line="152" w:lineRule="exact"/>
              <w:rPr>
                <w:sz w:val="20"/>
                <w:szCs w:val="20"/>
                <w:color w:val="auto"/>
              </w:rPr>
            </w:pPr>
            <w:r>
              <w:rPr>
                <w:rFonts w:ascii="Times New Roman" w:cs="Times New Roman" w:eastAsia="Times New Roman" w:hAnsi="Times New Roman"/>
                <w:sz w:val="14"/>
                <w:szCs w:val="14"/>
                <w:color w:val="0000EE"/>
              </w:rPr>
              <w:t>Opinion of Greenberg Traurig, P.A. as to the validity of shares of Mobix Labs, Inc. Class A Common Stock.</w:t>
            </w:r>
          </w:p>
        </w:tc>
      </w:tr>
      <w:tr>
        <w:trPr>
          <w:trHeight w:val="20"/>
        </w:trPr>
        <w:tc>
          <w:tcPr>
            <w:tcW w:w="620" w:type="dxa"/>
            <w:vAlign w:val="bottom"/>
          </w:tcPr>
          <w:p>
            <w:pPr>
              <w:spacing w:after="0" w:line="20" w:lineRule="exact"/>
              <w:rPr>
                <w:sz w:val="1"/>
                <w:szCs w:val="1"/>
                <w:color w:val="auto"/>
              </w:rPr>
            </w:pPr>
          </w:p>
        </w:tc>
        <w:tc>
          <w:tcPr>
            <w:tcW w:w="3420" w:type="dxa"/>
            <w:vAlign w:val="bottom"/>
            <w:gridSpan w:val="6"/>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10.1</w:t>
            </w:r>
          </w:p>
        </w:tc>
        <w:tc>
          <w:tcPr>
            <w:tcW w:w="10660" w:type="dxa"/>
            <w:vAlign w:val="bottom"/>
            <w:tcBorders>
              <w:bottom w:val="single" w:sz="8" w:color="0000EE"/>
            </w:tcBorders>
            <w:gridSpan w:val="24"/>
          </w:tcPr>
          <w:p>
            <w:pPr>
              <w:spacing w:after="0" w:line="152" w:lineRule="exact"/>
              <w:rPr>
                <w:rFonts w:ascii="Times New Roman" w:cs="Times New Roman" w:eastAsia="Times New Roman" w:hAnsi="Times New Roman"/>
                <w:sz w:val="14"/>
                <w:szCs w:val="14"/>
                <w:color w:val="0000EE"/>
              </w:rPr>
            </w:pPr>
            <w:hyperlink r:id="rId211">
              <w:r>
                <w:rPr>
                  <w:rFonts w:ascii="Times New Roman" w:cs="Times New Roman" w:eastAsia="Times New Roman" w:hAnsi="Times New Roman"/>
                  <w:sz w:val="14"/>
                  <w:szCs w:val="14"/>
                  <w:color w:val="0000EE"/>
                </w:rPr>
                <w:t>Letter Agreement, dated July 19, 2021, by and among Chavant, its executive officers, its directors, Roth Capital Partners, LLC, Craig-Hallum Capital Group LLC and their respective</w:t>
              </w:r>
            </w:hyperlink>
          </w:p>
        </w:tc>
      </w:tr>
      <w:tr>
        <w:trPr>
          <w:trHeight w:val="152"/>
        </w:trPr>
        <w:tc>
          <w:tcPr>
            <w:tcW w:w="620" w:type="dxa"/>
            <w:vAlign w:val="bottom"/>
          </w:tcPr>
          <w:p>
            <w:pPr>
              <w:spacing w:after="0"/>
              <w:rPr>
                <w:sz w:val="13"/>
                <w:szCs w:val="13"/>
                <w:color w:val="auto"/>
              </w:rPr>
            </w:pPr>
          </w:p>
        </w:tc>
        <w:tc>
          <w:tcPr>
            <w:tcW w:w="10660" w:type="dxa"/>
            <w:vAlign w:val="bottom"/>
            <w:gridSpan w:val="24"/>
          </w:tcPr>
          <w:p>
            <w:pPr>
              <w:spacing w:after="0" w:line="152" w:lineRule="exact"/>
              <w:rPr>
                <w:rFonts w:ascii="Times New Roman" w:cs="Times New Roman" w:eastAsia="Times New Roman" w:hAnsi="Times New Roman"/>
                <w:sz w:val="14"/>
                <w:szCs w:val="14"/>
                <w:color w:val="0000EE"/>
              </w:rPr>
            </w:pPr>
            <w:hyperlink r:id="rId211">
              <w:r>
                <w:rPr>
                  <w:rFonts w:ascii="Times New Roman" w:cs="Times New Roman" w:eastAsia="Times New Roman" w:hAnsi="Times New Roman"/>
                  <w:sz w:val="14"/>
                  <w:szCs w:val="14"/>
                  <w:color w:val="0000EE"/>
                </w:rPr>
                <w:t>permitted designees and Chavant Capital Partners LLC (incorporated by reference to Exhibit 10.1 to Chavant’s Current Report on Form 8-K filed on July 23, 2021).</w:t>
              </w:r>
            </w:hyperlink>
          </w:p>
        </w:tc>
      </w:tr>
      <w:tr>
        <w:trPr>
          <w:trHeight w:val="20"/>
        </w:trPr>
        <w:tc>
          <w:tcPr>
            <w:tcW w:w="620" w:type="dxa"/>
            <w:vAlign w:val="bottom"/>
          </w:tcPr>
          <w:p>
            <w:pPr>
              <w:spacing w:after="0" w:line="20" w:lineRule="exact"/>
              <w:rPr>
                <w:sz w:val="1"/>
                <w:szCs w:val="1"/>
                <w:color w:val="auto"/>
              </w:rPr>
            </w:pPr>
          </w:p>
        </w:tc>
        <w:tc>
          <w:tcPr>
            <w:tcW w:w="3420" w:type="dxa"/>
            <w:vAlign w:val="bottom"/>
            <w:gridSpan w:val="6"/>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10.2</w:t>
            </w:r>
          </w:p>
        </w:tc>
        <w:tc>
          <w:tcPr>
            <w:tcW w:w="10660" w:type="dxa"/>
            <w:vAlign w:val="bottom"/>
            <w:tcBorders>
              <w:bottom w:val="single" w:sz="8" w:color="0000EE"/>
            </w:tcBorders>
            <w:gridSpan w:val="24"/>
          </w:tcPr>
          <w:p>
            <w:pPr>
              <w:spacing w:after="0" w:line="152" w:lineRule="exact"/>
              <w:rPr>
                <w:rFonts w:ascii="Times New Roman" w:cs="Times New Roman" w:eastAsia="Times New Roman" w:hAnsi="Times New Roman"/>
                <w:sz w:val="14"/>
                <w:szCs w:val="14"/>
                <w:color w:val="0000EE"/>
              </w:rPr>
            </w:pPr>
            <w:hyperlink r:id="rId212">
              <w:r>
                <w:rPr>
                  <w:rFonts w:ascii="Times New Roman" w:cs="Times New Roman" w:eastAsia="Times New Roman" w:hAnsi="Times New Roman"/>
                  <w:sz w:val="14"/>
                  <w:szCs w:val="14"/>
                  <w:color w:val="0000EE"/>
                </w:rPr>
                <w:t>Amended and Restated Registration Rights and Lock-Up Agreement, dated December 21, 2023, by and among Mobix Labs, Inc. and the other parties thereto (incorporated by reference</w:t>
              </w:r>
            </w:hyperlink>
          </w:p>
        </w:tc>
      </w:tr>
      <w:tr>
        <w:trPr>
          <w:trHeight w:val="152"/>
        </w:trPr>
        <w:tc>
          <w:tcPr>
            <w:tcW w:w="620" w:type="dxa"/>
            <w:vAlign w:val="bottom"/>
          </w:tcPr>
          <w:p>
            <w:pPr>
              <w:spacing w:after="0"/>
              <w:rPr>
                <w:sz w:val="13"/>
                <w:szCs w:val="13"/>
                <w:color w:val="auto"/>
              </w:rPr>
            </w:pPr>
          </w:p>
        </w:tc>
        <w:tc>
          <w:tcPr>
            <w:tcW w:w="5540" w:type="dxa"/>
            <w:vAlign w:val="bottom"/>
            <w:tcBorders>
              <w:bottom w:val="single" w:sz="8" w:color="0000EE"/>
            </w:tcBorders>
            <w:gridSpan w:val="10"/>
          </w:tcPr>
          <w:p>
            <w:pPr>
              <w:spacing w:after="0" w:line="152" w:lineRule="exact"/>
              <w:rPr>
                <w:rFonts w:ascii="Times New Roman" w:cs="Times New Roman" w:eastAsia="Times New Roman" w:hAnsi="Times New Roman"/>
                <w:sz w:val="14"/>
                <w:szCs w:val="14"/>
                <w:color w:val="0000EE"/>
              </w:rPr>
            </w:pPr>
            <w:hyperlink r:id="rId212">
              <w:r>
                <w:rPr>
                  <w:rFonts w:ascii="Times New Roman" w:cs="Times New Roman" w:eastAsia="Times New Roman" w:hAnsi="Times New Roman"/>
                  <w:sz w:val="14"/>
                  <w:szCs w:val="14"/>
                  <w:color w:val="0000EE"/>
                </w:rPr>
                <w:t>to Exhibit 10.2 to Mobix Labs, Inc.’s Current Report on Form 8-K filed on December 28, 2023).</w:t>
              </w:r>
            </w:hyperlink>
          </w:p>
        </w:tc>
        <w:tc>
          <w:tcPr>
            <w:tcW w:w="5120" w:type="dxa"/>
            <w:vAlign w:val="bottom"/>
            <w:gridSpan w:val="14"/>
          </w:tcPr>
          <w:p>
            <w:pPr>
              <w:spacing w:after="0"/>
              <w:rPr>
                <w:sz w:val="13"/>
                <w:szCs w:val="13"/>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10.3#</w:t>
            </w:r>
          </w:p>
        </w:tc>
        <w:tc>
          <w:tcPr>
            <w:tcW w:w="9220" w:type="dxa"/>
            <w:vAlign w:val="bottom"/>
            <w:tcBorders>
              <w:bottom w:val="single" w:sz="8" w:color="0000EE"/>
            </w:tcBorders>
            <w:gridSpan w:val="17"/>
          </w:tcPr>
          <w:p>
            <w:pPr>
              <w:spacing w:after="0" w:line="152" w:lineRule="exact"/>
              <w:rPr>
                <w:rFonts w:ascii="Times New Roman" w:cs="Times New Roman" w:eastAsia="Times New Roman" w:hAnsi="Times New Roman"/>
                <w:sz w:val="14"/>
                <w:szCs w:val="14"/>
                <w:color w:val="0000EE"/>
              </w:rPr>
            </w:pPr>
            <w:hyperlink r:id="rId213">
              <w:r>
                <w:rPr>
                  <w:rFonts w:ascii="Times New Roman" w:cs="Times New Roman" w:eastAsia="Times New Roman" w:hAnsi="Times New Roman"/>
                  <w:sz w:val="14"/>
                  <w:szCs w:val="14"/>
                  <w:color w:val="0000EE"/>
                </w:rPr>
                <w:t>Form of Indemnification Agreement (incorporated by reference to Exhibit 10.3 to Mobix Labs, Inc.’s Current Report on Form 8-K filed on December 28, 2023).</w:t>
              </w:r>
            </w:hyperlink>
          </w:p>
        </w:tc>
        <w:tc>
          <w:tcPr>
            <w:tcW w:w="1440" w:type="dxa"/>
            <w:vAlign w:val="bottom"/>
            <w:gridSpan w:val="7"/>
          </w:tcPr>
          <w:p>
            <w:pPr>
              <w:spacing w:after="0"/>
              <w:rPr>
                <w:sz w:val="13"/>
                <w:szCs w:val="13"/>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10.4#*</w:t>
            </w:r>
          </w:p>
        </w:tc>
        <w:tc>
          <w:tcPr>
            <w:tcW w:w="10660" w:type="dxa"/>
            <w:vAlign w:val="bottom"/>
            <w:gridSpan w:val="24"/>
          </w:tcPr>
          <w:p>
            <w:pPr>
              <w:spacing w:after="0" w:line="152" w:lineRule="exact"/>
              <w:rPr>
                <w:sz w:val="20"/>
                <w:szCs w:val="20"/>
                <w:color w:val="auto"/>
              </w:rPr>
            </w:pPr>
            <w:r>
              <w:rPr>
                <w:rFonts w:ascii="Times New Roman" w:cs="Times New Roman" w:eastAsia="Times New Roman" w:hAnsi="Times New Roman"/>
                <w:sz w:val="14"/>
                <w:szCs w:val="14"/>
                <w:color w:val="0000EE"/>
              </w:rPr>
              <w:t>Mobix Labs, Inc. 2023 Equity Incentive Plan (as amended).</w:t>
            </w:r>
          </w:p>
        </w:tc>
      </w:tr>
      <w:tr>
        <w:trPr>
          <w:trHeight w:val="20"/>
        </w:trPr>
        <w:tc>
          <w:tcPr>
            <w:tcW w:w="620" w:type="dxa"/>
            <w:vAlign w:val="bottom"/>
          </w:tcPr>
          <w:p>
            <w:pPr>
              <w:spacing w:after="0" w:line="20" w:lineRule="exact"/>
              <w:rPr>
                <w:sz w:val="1"/>
                <w:szCs w:val="1"/>
                <w:color w:val="auto"/>
              </w:rPr>
            </w:pPr>
          </w:p>
        </w:tc>
        <w:tc>
          <w:tcPr>
            <w:tcW w:w="3420" w:type="dxa"/>
            <w:vAlign w:val="bottom"/>
            <w:gridSpan w:val="6"/>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10.5#</w:t>
            </w:r>
          </w:p>
        </w:tc>
        <w:tc>
          <w:tcPr>
            <w:tcW w:w="10260" w:type="dxa"/>
            <w:vAlign w:val="bottom"/>
            <w:tcBorders>
              <w:bottom w:val="single" w:sz="8" w:color="0000EE"/>
            </w:tcBorders>
            <w:gridSpan w:val="23"/>
          </w:tcPr>
          <w:p>
            <w:pPr>
              <w:spacing w:after="0" w:line="152" w:lineRule="exact"/>
              <w:rPr>
                <w:rFonts w:ascii="Times New Roman" w:cs="Times New Roman" w:eastAsia="Times New Roman" w:hAnsi="Times New Roman"/>
                <w:sz w:val="14"/>
                <w:szCs w:val="14"/>
                <w:color w:val="0000EE"/>
              </w:rPr>
            </w:pPr>
            <w:hyperlink r:id="rId214">
              <w:r>
                <w:rPr>
                  <w:rFonts w:ascii="Times New Roman" w:cs="Times New Roman" w:eastAsia="Times New Roman" w:hAnsi="Times New Roman"/>
                  <w:sz w:val="14"/>
                  <w:szCs w:val="14"/>
                  <w:color w:val="0000EE"/>
                </w:rPr>
                <w:t>Mobix Labs, Inc. 2023 Employee Stock Purchase Plan (incorporated by reference to Exhibit 10.5 to Mobix Labs, Inc.’s Current Report on Form 8-K filed on December 28, 2023).</w:t>
              </w:r>
            </w:hyperlink>
          </w:p>
        </w:tc>
        <w:tc>
          <w:tcPr>
            <w:tcW w:w="400" w:type="dxa"/>
            <w:vAlign w:val="bottom"/>
          </w:tcPr>
          <w:p>
            <w:pPr>
              <w:spacing w:after="0"/>
              <w:rPr>
                <w:sz w:val="13"/>
                <w:szCs w:val="13"/>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10.6#</w:t>
            </w:r>
          </w:p>
        </w:tc>
        <w:tc>
          <w:tcPr>
            <w:tcW w:w="10660" w:type="dxa"/>
            <w:vAlign w:val="bottom"/>
            <w:tcBorders>
              <w:bottom w:val="single" w:sz="8" w:color="0000EE"/>
            </w:tcBorders>
            <w:gridSpan w:val="24"/>
          </w:tcPr>
          <w:p>
            <w:pPr>
              <w:spacing w:after="0" w:line="152" w:lineRule="exact"/>
              <w:rPr>
                <w:rFonts w:ascii="Times New Roman" w:cs="Times New Roman" w:eastAsia="Times New Roman" w:hAnsi="Times New Roman"/>
                <w:sz w:val="14"/>
                <w:szCs w:val="14"/>
                <w:color w:val="0000EE"/>
              </w:rPr>
            </w:pPr>
            <w:hyperlink r:id="rId215">
              <w:r>
                <w:rPr>
                  <w:rFonts w:ascii="Times New Roman" w:cs="Times New Roman" w:eastAsia="Times New Roman" w:hAnsi="Times New Roman"/>
                  <w:sz w:val="14"/>
                  <w:szCs w:val="14"/>
                  <w:color w:val="0000EE"/>
                </w:rPr>
                <w:t>Amended and Restated Executive Employment Agreement between Fabrizio Battaglia and Mobix Labs, Inc. (included as Exhibit 10.14 to the proxy statement/prospectus, which is a</w:t>
              </w:r>
            </w:hyperlink>
          </w:p>
        </w:tc>
      </w:tr>
      <w:tr>
        <w:trPr>
          <w:trHeight w:val="152"/>
        </w:trPr>
        <w:tc>
          <w:tcPr>
            <w:tcW w:w="620" w:type="dxa"/>
            <w:vAlign w:val="bottom"/>
          </w:tcPr>
          <w:p>
            <w:pPr>
              <w:spacing w:after="0"/>
              <w:rPr>
                <w:sz w:val="13"/>
                <w:szCs w:val="13"/>
                <w:color w:val="auto"/>
              </w:rPr>
            </w:pPr>
          </w:p>
        </w:tc>
        <w:tc>
          <w:tcPr>
            <w:tcW w:w="10660" w:type="dxa"/>
            <w:vAlign w:val="bottom"/>
            <w:gridSpan w:val="24"/>
          </w:tcPr>
          <w:p>
            <w:pPr>
              <w:spacing w:after="0" w:line="152" w:lineRule="exact"/>
              <w:rPr>
                <w:rFonts w:ascii="Times New Roman" w:cs="Times New Roman" w:eastAsia="Times New Roman" w:hAnsi="Times New Roman"/>
                <w:sz w:val="14"/>
                <w:szCs w:val="14"/>
                <w:color w:val="0000EE"/>
              </w:rPr>
            </w:pPr>
            <w:hyperlink r:id="rId215">
              <w:r>
                <w:rPr>
                  <w:rFonts w:ascii="Times New Roman" w:cs="Times New Roman" w:eastAsia="Times New Roman" w:hAnsi="Times New Roman"/>
                  <w:sz w:val="14"/>
                  <w:szCs w:val="14"/>
                  <w:color w:val="0000EE"/>
                </w:rPr>
                <w:t>part of the Company’s Registration Statement on Form S-4 filed on November 13, 2023, and incorporated herein by reference).</w:t>
              </w:r>
            </w:hyperlink>
          </w:p>
        </w:tc>
      </w:tr>
      <w:tr>
        <w:trPr>
          <w:trHeight w:val="20"/>
        </w:trPr>
        <w:tc>
          <w:tcPr>
            <w:tcW w:w="620" w:type="dxa"/>
            <w:vAlign w:val="bottom"/>
          </w:tcPr>
          <w:p>
            <w:pPr>
              <w:spacing w:after="0" w:line="20" w:lineRule="exact"/>
              <w:rPr>
                <w:sz w:val="1"/>
                <w:szCs w:val="1"/>
                <w:color w:val="auto"/>
              </w:rPr>
            </w:pPr>
          </w:p>
        </w:tc>
        <w:tc>
          <w:tcPr>
            <w:tcW w:w="5260" w:type="dxa"/>
            <w:vAlign w:val="bottom"/>
            <w:gridSpan w:val="9"/>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10.7#</w:t>
            </w:r>
          </w:p>
        </w:tc>
        <w:tc>
          <w:tcPr>
            <w:tcW w:w="10660" w:type="dxa"/>
            <w:vAlign w:val="bottom"/>
            <w:tcBorders>
              <w:bottom w:val="single" w:sz="8" w:color="0000EE"/>
            </w:tcBorders>
            <w:gridSpan w:val="24"/>
          </w:tcPr>
          <w:p>
            <w:pPr>
              <w:spacing w:after="0" w:line="152" w:lineRule="exact"/>
              <w:rPr>
                <w:rFonts w:ascii="Times New Roman" w:cs="Times New Roman" w:eastAsia="Times New Roman" w:hAnsi="Times New Roman"/>
                <w:sz w:val="14"/>
                <w:szCs w:val="14"/>
                <w:color w:val="0000EE"/>
              </w:rPr>
            </w:pPr>
            <w:hyperlink r:id="rId216">
              <w:r>
                <w:rPr>
                  <w:rFonts w:ascii="Times New Roman" w:cs="Times New Roman" w:eastAsia="Times New Roman" w:hAnsi="Times New Roman"/>
                  <w:sz w:val="14"/>
                  <w:szCs w:val="14"/>
                  <w:color w:val="0000EE"/>
                </w:rPr>
                <w:t>Amended and Restated Executive Employment Term Sheet between Fabrizio Battaglia and Mobix Labs, Inc. (included as Exhibit 10.15 to the proxy statement/prospectus, which is a</w:t>
              </w:r>
            </w:hyperlink>
          </w:p>
        </w:tc>
      </w:tr>
      <w:tr>
        <w:trPr>
          <w:trHeight w:val="152"/>
        </w:trPr>
        <w:tc>
          <w:tcPr>
            <w:tcW w:w="620" w:type="dxa"/>
            <w:vAlign w:val="bottom"/>
          </w:tcPr>
          <w:p>
            <w:pPr>
              <w:spacing w:after="0"/>
              <w:rPr>
                <w:sz w:val="13"/>
                <w:szCs w:val="13"/>
                <w:color w:val="auto"/>
              </w:rPr>
            </w:pPr>
          </w:p>
        </w:tc>
        <w:tc>
          <w:tcPr>
            <w:tcW w:w="10660" w:type="dxa"/>
            <w:vAlign w:val="bottom"/>
            <w:gridSpan w:val="24"/>
          </w:tcPr>
          <w:p>
            <w:pPr>
              <w:spacing w:after="0" w:line="152" w:lineRule="exact"/>
              <w:rPr>
                <w:rFonts w:ascii="Times New Roman" w:cs="Times New Roman" w:eastAsia="Times New Roman" w:hAnsi="Times New Roman"/>
                <w:sz w:val="14"/>
                <w:szCs w:val="14"/>
                <w:color w:val="0000EE"/>
              </w:rPr>
            </w:pPr>
            <w:hyperlink r:id="rId216">
              <w:r>
                <w:rPr>
                  <w:rFonts w:ascii="Times New Roman" w:cs="Times New Roman" w:eastAsia="Times New Roman" w:hAnsi="Times New Roman"/>
                  <w:sz w:val="14"/>
                  <w:szCs w:val="14"/>
                  <w:color w:val="0000EE"/>
                </w:rPr>
                <w:t>part of the Company’s Registration Statement on Form S-4 filed on November 13, 2023, and incorporated herein by reference).</w:t>
              </w:r>
            </w:hyperlink>
          </w:p>
        </w:tc>
      </w:tr>
      <w:tr>
        <w:trPr>
          <w:trHeight w:val="20"/>
        </w:trPr>
        <w:tc>
          <w:tcPr>
            <w:tcW w:w="620" w:type="dxa"/>
            <w:vAlign w:val="bottom"/>
          </w:tcPr>
          <w:p>
            <w:pPr>
              <w:spacing w:after="0" w:line="20" w:lineRule="exact"/>
              <w:rPr>
                <w:sz w:val="1"/>
                <w:szCs w:val="1"/>
                <w:color w:val="auto"/>
              </w:rPr>
            </w:pPr>
          </w:p>
        </w:tc>
        <w:tc>
          <w:tcPr>
            <w:tcW w:w="5260" w:type="dxa"/>
            <w:vAlign w:val="bottom"/>
            <w:gridSpan w:val="9"/>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10.8#</w:t>
            </w:r>
          </w:p>
        </w:tc>
        <w:tc>
          <w:tcPr>
            <w:tcW w:w="10660" w:type="dxa"/>
            <w:vAlign w:val="bottom"/>
            <w:tcBorders>
              <w:bottom w:val="single" w:sz="8" w:color="0000EE"/>
            </w:tcBorders>
            <w:gridSpan w:val="24"/>
          </w:tcPr>
          <w:p>
            <w:pPr>
              <w:spacing w:after="0" w:line="152" w:lineRule="exact"/>
              <w:rPr>
                <w:rFonts w:ascii="Times New Roman" w:cs="Times New Roman" w:eastAsia="Times New Roman" w:hAnsi="Times New Roman"/>
                <w:sz w:val="14"/>
                <w:szCs w:val="14"/>
                <w:color w:val="0000EE"/>
              </w:rPr>
            </w:pPr>
            <w:hyperlink r:id="rId217">
              <w:r>
                <w:rPr>
                  <w:rFonts w:ascii="Times New Roman" w:cs="Times New Roman" w:eastAsia="Times New Roman" w:hAnsi="Times New Roman"/>
                  <w:sz w:val="14"/>
                  <w:szCs w:val="14"/>
                  <w:color w:val="0000EE"/>
                </w:rPr>
                <w:t>Amended and Restated Executive Employment Agreement between Keyvan Samini and Mobix Labs, Inc. (included as Exhibit 10.16 to the proxy statement/prospectus, which is a part</w:t>
              </w:r>
            </w:hyperlink>
          </w:p>
        </w:tc>
      </w:tr>
      <w:tr>
        <w:trPr>
          <w:trHeight w:val="152"/>
        </w:trPr>
        <w:tc>
          <w:tcPr>
            <w:tcW w:w="620" w:type="dxa"/>
            <w:vAlign w:val="bottom"/>
          </w:tcPr>
          <w:p>
            <w:pPr>
              <w:spacing w:after="0"/>
              <w:rPr>
                <w:sz w:val="13"/>
                <w:szCs w:val="13"/>
                <w:color w:val="auto"/>
              </w:rPr>
            </w:pPr>
          </w:p>
        </w:tc>
        <w:tc>
          <w:tcPr>
            <w:tcW w:w="10660" w:type="dxa"/>
            <w:vAlign w:val="bottom"/>
            <w:gridSpan w:val="24"/>
          </w:tcPr>
          <w:p>
            <w:pPr>
              <w:spacing w:after="0" w:line="152" w:lineRule="exact"/>
              <w:rPr>
                <w:rFonts w:ascii="Times New Roman" w:cs="Times New Roman" w:eastAsia="Times New Roman" w:hAnsi="Times New Roman"/>
                <w:sz w:val="14"/>
                <w:szCs w:val="14"/>
                <w:color w:val="0000EE"/>
              </w:rPr>
            </w:pPr>
            <w:hyperlink r:id="rId217">
              <w:r>
                <w:rPr>
                  <w:rFonts w:ascii="Times New Roman" w:cs="Times New Roman" w:eastAsia="Times New Roman" w:hAnsi="Times New Roman"/>
                  <w:sz w:val="14"/>
                  <w:szCs w:val="14"/>
                  <w:color w:val="0000EE"/>
                </w:rPr>
                <w:t>of the Company’s Registration Statement on Form S-4 filed on November 13, 2023, and incorporated herein by reference).</w:t>
              </w:r>
            </w:hyperlink>
          </w:p>
        </w:tc>
      </w:tr>
      <w:tr>
        <w:trPr>
          <w:trHeight w:val="20"/>
        </w:trPr>
        <w:tc>
          <w:tcPr>
            <w:tcW w:w="620" w:type="dxa"/>
            <w:vAlign w:val="bottom"/>
          </w:tcPr>
          <w:p>
            <w:pPr>
              <w:spacing w:after="0" w:line="20" w:lineRule="exact"/>
              <w:rPr>
                <w:sz w:val="1"/>
                <w:szCs w:val="1"/>
                <w:color w:val="auto"/>
              </w:rPr>
            </w:pPr>
          </w:p>
        </w:tc>
        <w:tc>
          <w:tcPr>
            <w:tcW w:w="5260" w:type="dxa"/>
            <w:vAlign w:val="bottom"/>
            <w:gridSpan w:val="9"/>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10.9#</w:t>
            </w:r>
          </w:p>
        </w:tc>
        <w:tc>
          <w:tcPr>
            <w:tcW w:w="10660" w:type="dxa"/>
            <w:vAlign w:val="bottom"/>
            <w:tcBorders>
              <w:bottom w:val="single" w:sz="8" w:color="0000EE"/>
            </w:tcBorders>
            <w:gridSpan w:val="24"/>
          </w:tcPr>
          <w:p>
            <w:pPr>
              <w:spacing w:after="0" w:line="152" w:lineRule="exact"/>
              <w:rPr>
                <w:rFonts w:ascii="Times New Roman" w:cs="Times New Roman" w:eastAsia="Times New Roman" w:hAnsi="Times New Roman"/>
                <w:sz w:val="14"/>
                <w:szCs w:val="14"/>
                <w:color w:val="0000EE"/>
              </w:rPr>
            </w:pPr>
            <w:hyperlink r:id="rId218">
              <w:r>
                <w:rPr>
                  <w:rFonts w:ascii="Times New Roman" w:cs="Times New Roman" w:eastAsia="Times New Roman" w:hAnsi="Times New Roman"/>
                  <w:sz w:val="14"/>
                  <w:szCs w:val="14"/>
                  <w:color w:val="0000EE"/>
                </w:rPr>
                <w:t>Amended and Restated Executive Employment Term Sheet between Keyvan Samini and Mobix Labs, Inc. (included as Exhibit 10.17 to the proxy statement/prospectus, which is a part</w:t>
              </w:r>
            </w:hyperlink>
          </w:p>
        </w:tc>
      </w:tr>
      <w:tr>
        <w:trPr>
          <w:trHeight w:val="152"/>
        </w:trPr>
        <w:tc>
          <w:tcPr>
            <w:tcW w:w="620" w:type="dxa"/>
            <w:vAlign w:val="bottom"/>
          </w:tcPr>
          <w:p>
            <w:pPr>
              <w:spacing w:after="0"/>
              <w:rPr>
                <w:sz w:val="13"/>
                <w:szCs w:val="13"/>
                <w:color w:val="auto"/>
              </w:rPr>
            </w:pPr>
          </w:p>
        </w:tc>
        <w:tc>
          <w:tcPr>
            <w:tcW w:w="10660" w:type="dxa"/>
            <w:vAlign w:val="bottom"/>
            <w:gridSpan w:val="24"/>
          </w:tcPr>
          <w:p>
            <w:pPr>
              <w:spacing w:after="0" w:line="152" w:lineRule="exact"/>
              <w:rPr>
                <w:rFonts w:ascii="Times New Roman" w:cs="Times New Roman" w:eastAsia="Times New Roman" w:hAnsi="Times New Roman"/>
                <w:sz w:val="14"/>
                <w:szCs w:val="14"/>
                <w:color w:val="0000EE"/>
              </w:rPr>
            </w:pPr>
            <w:hyperlink r:id="rId218">
              <w:r>
                <w:rPr>
                  <w:rFonts w:ascii="Times New Roman" w:cs="Times New Roman" w:eastAsia="Times New Roman" w:hAnsi="Times New Roman"/>
                  <w:sz w:val="14"/>
                  <w:szCs w:val="14"/>
                  <w:color w:val="0000EE"/>
                </w:rPr>
                <w:t>of the Company’s Registration Statement on Form S-4 filed on November 13, 2023, and incorporated herein by reference).</w:t>
              </w:r>
            </w:hyperlink>
          </w:p>
        </w:tc>
      </w:tr>
      <w:tr>
        <w:trPr>
          <w:trHeight w:val="20"/>
        </w:trPr>
        <w:tc>
          <w:tcPr>
            <w:tcW w:w="620" w:type="dxa"/>
            <w:vAlign w:val="bottom"/>
          </w:tcPr>
          <w:p>
            <w:pPr>
              <w:spacing w:after="0" w:line="20" w:lineRule="exact"/>
              <w:rPr>
                <w:sz w:val="1"/>
                <w:szCs w:val="1"/>
                <w:color w:val="auto"/>
              </w:rPr>
            </w:pPr>
          </w:p>
        </w:tc>
        <w:tc>
          <w:tcPr>
            <w:tcW w:w="5260" w:type="dxa"/>
            <w:vAlign w:val="bottom"/>
            <w:gridSpan w:val="9"/>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3620" w:type="dxa"/>
            <w:vAlign w:val="bottom"/>
            <w:gridSpan w:val="11"/>
          </w:tcPr>
          <w:p>
            <w:pPr>
              <w:spacing w:after="0" w:line="20" w:lineRule="exact"/>
              <w:rPr>
                <w:sz w:val="1"/>
                <w:szCs w:val="1"/>
                <w:color w:val="auto"/>
              </w:rPr>
            </w:pPr>
          </w:p>
        </w:tc>
      </w:tr>
      <w:tr>
        <w:trPr>
          <w:trHeight w:val="152"/>
        </w:trPr>
        <w:tc>
          <w:tcPr>
            <w:tcW w:w="62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10.10#</w:t>
            </w:r>
          </w:p>
        </w:tc>
        <w:tc>
          <w:tcPr>
            <w:tcW w:w="10660" w:type="dxa"/>
            <w:vAlign w:val="bottom"/>
            <w:tcBorders>
              <w:bottom w:val="single" w:sz="8" w:color="0000EE"/>
            </w:tcBorders>
            <w:gridSpan w:val="24"/>
          </w:tcPr>
          <w:p>
            <w:pPr>
              <w:spacing w:after="0" w:line="152" w:lineRule="exact"/>
              <w:rPr>
                <w:rFonts w:ascii="Times New Roman" w:cs="Times New Roman" w:eastAsia="Times New Roman" w:hAnsi="Times New Roman"/>
                <w:sz w:val="14"/>
                <w:szCs w:val="14"/>
                <w:color w:val="0000EE"/>
              </w:rPr>
            </w:pPr>
            <w:hyperlink r:id="rId219">
              <w:r>
                <w:rPr>
                  <w:rFonts w:ascii="Times New Roman" w:cs="Times New Roman" w:eastAsia="Times New Roman" w:hAnsi="Times New Roman"/>
                  <w:sz w:val="14"/>
                  <w:szCs w:val="14"/>
                  <w:color w:val="0000EE"/>
                </w:rPr>
                <w:t>Employment Agreement between James Aralis and Mobix Labs, Inc. (included as Exhibit 10.18 to the proxy statement/prospectus, which is a part of the Company’s Registration</w:t>
              </w:r>
            </w:hyperlink>
          </w:p>
        </w:tc>
      </w:tr>
      <w:tr>
        <w:trPr>
          <w:trHeight w:val="152"/>
        </w:trPr>
        <w:tc>
          <w:tcPr>
            <w:tcW w:w="620" w:type="dxa"/>
            <w:vAlign w:val="bottom"/>
          </w:tcPr>
          <w:p>
            <w:pPr>
              <w:spacing w:after="0"/>
              <w:rPr>
                <w:sz w:val="13"/>
                <w:szCs w:val="13"/>
                <w:color w:val="auto"/>
              </w:rPr>
            </w:pPr>
          </w:p>
        </w:tc>
        <w:tc>
          <w:tcPr>
            <w:tcW w:w="5260" w:type="dxa"/>
            <w:vAlign w:val="bottom"/>
            <w:tcBorders>
              <w:bottom w:val="single" w:sz="8" w:color="0000EE"/>
            </w:tcBorders>
            <w:gridSpan w:val="9"/>
          </w:tcPr>
          <w:p>
            <w:pPr>
              <w:spacing w:after="0" w:line="152" w:lineRule="exact"/>
              <w:rPr>
                <w:rFonts w:ascii="Times New Roman" w:cs="Times New Roman" w:eastAsia="Times New Roman" w:hAnsi="Times New Roman"/>
                <w:sz w:val="14"/>
                <w:szCs w:val="14"/>
                <w:color w:val="0000EE"/>
              </w:rPr>
            </w:pPr>
            <w:hyperlink r:id="rId219">
              <w:r>
                <w:rPr>
                  <w:rFonts w:ascii="Times New Roman" w:cs="Times New Roman" w:eastAsia="Times New Roman" w:hAnsi="Times New Roman"/>
                  <w:sz w:val="14"/>
                  <w:szCs w:val="14"/>
                  <w:color w:val="0000EE"/>
                </w:rPr>
                <w:t>Statement on Form S-4 filed on November 13, 2023, and incorporated herein by reference).</w:t>
              </w:r>
            </w:hyperlink>
          </w:p>
        </w:tc>
        <w:tc>
          <w:tcPr>
            <w:tcW w:w="5400" w:type="dxa"/>
            <w:vAlign w:val="bottom"/>
            <w:gridSpan w:val="15"/>
          </w:tcPr>
          <w:p>
            <w:pPr>
              <w:spacing w:after="0"/>
              <w:rPr>
                <w:sz w:val="13"/>
                <w:szCs w:val="13"/>
                <w:color w:val="auto"/>
              </w:rPr>
            </w:pPr>
          </w:p>
        </w:tc>
      </w:tr>
      <w:tr>
        <w:trPr>
          <w:trHeight w:val="356"/>
        </w:trPr>
        <w:tc>
          <w:tcPr>
            <w:tcW w:w="6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gridSpan w:val="17"/>
          </w:tcPr>
          <w:p>
            <w:pPr>
              <w:ind w:left="1140"/>
              <w:spacing w:after="0"/>
              <w:rPr>
                <w:sz w:val="20"/>
                <w:szCs w:val="20"/>
                <w:color w:val="auto"/>
              </w:rPr>
            </w:pPr>
            <w:r>
              <w:rPr>
                <w:rFonts w:ascii="Times New Roman" w:cs="Times New Roman" w:eastAsia="Times New Roman" w:hAnsi="Times New Roman"/>
                <w:sz w:val="14"/>
                <w:szCs w:val="14"/>
                <w:color w:val="auto"/>
              </w:rPr>
              <w:t>II-11</w:t>
            </w:r>
          </w:p>
        </w:tc>
      </w:tr>
    </w:tbl>
    <w:p>
      <w:pPr>
        <w:sectPr>
          <w:pgSz w:w="11900" w:h="16838" w:orient="portrait"/>
          <w:cols w:equalWidth="0" w:num="1">
            <w:col w:w="11280"/>
          </w:cols>
          <w:pgMar w:left="300" w:top="549" w:right="319" w:bottom="1440" w:gutter="0" w:footer="0" w:header="0"/>
        </w:sectPr>
      </w:pPr>
    </w:p>
    <w:bookmarkStart w:id="170" w:name="page171"/>
    <w:bookmarkEnd w:id="170"/>
    <w:p>
      <w:pPr>
        <w:ind w:left="620" w:hanging="612"/>
        <w:spacing w:after="0" w:line="26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10.11#</w:t>
      </w:r>
      <w:r>
        <w:rPr>
          <w:sz w:val="20"/>
          <w:szCs w:val="20"/>
          <w:color w:val="auto"/>
        </w:rPr>
        <w:tab/>
      </w:r>
      <w:hyperlink r:id="rId220">
        <w:r>
          <w:rPr>
            <w:rFonts w:ascii="Times New Roman" w:cs="Times New Roman" w:eastAsia="Times New Roman" w:hAnsi="Times New Roman"/>
            <w:sz w:val="14"/>
            <w:szCs w:val="14"/>
            <w:u w:val="single" w:color="auto"/>
            <w:color w:val="0000EE"/>
          </w:rPr>
          <w:t>Board of Directors Agreement, dated March 12, 2021, between Mobix Labs, Inc. and Kurt Busch (included as Exhibit 10.21 to the proxy statement/prospectus, which is a part of the</w:t>
        </w:r>
      </w:hyperlink>
      <w:r>
        <w:rPr>
          <w:rFonts w:ascii="Times New Roman" w:cs="Times New Roman" w:eastAsia="Times New Roman" w:hAnsi="Times New Roman"/>
          <w:sz w:val="14"/>
          <w:szCs w:val="14"/>
          <w:u w:val="single" w:color="auto"/>
          <w:color w:val="0000EE"/>
        </w:rPr>
        <w:t xml:space="preserve"> </w:t>
      </w:r>
      <w:hyperlink r:id="rId220">
        <w:r>
          <w:rPr>
            <w:rFonts w:ascii="Times New Roman" w:cs="Times New Roman" w:eastAsia="Times New Roman" w:hAnsi="Times New Roman"/>
            <w:sz w:val="14"/>
            <w:szCs w:val="14"/>
            <w:u w:val="single" w:color="auto"/>
            <w:color w:val="0000EE"/>
          </w:rPr>
          <w:t>Company’s Registration Statement on Form S-4 filed on November 13, 2023, and incorporated herein by reference).</w:t>
        </w:r>
      </w:hyperlink>
    </w:p>
    <w:p>
      <w:pPr>
        <w:spacing w:after="0" w:line="1" w:lineRule="exact"/>
        <w:rPr>
          <w:sz w:val="20"/>
          <w:szCs w:val="20"/>
          <w:color w:val="auto"/>
        </w:rPr>
      </w:pPr>
    </w:p>
    <w:p>
      <w:pPr>
        <w:ind w:left="620" w:hanging="612"/>
        <w:spacing w:after="0" w:line="25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10.12#</w:t>
      </w:r>
      <w:r>
        <w:rPr>
          <w:sz w:val="20"/>
          <w:szCs w:val="20"/>
          <w:color w:val="auto"/>
        </w:rPr>
        <w:tab/>
      </w:r>
      <w:hyperlink r:id="rId221">
        <w:r>
          <w:rPr>
            <w:rFonts w:ascii="Times New Roman" w:cs="Times New Roman" w:eastAsia="Times New Roman" w:hAnsi="Times New Roman"/>
            <w:sz w:val="14"/>
            <w:szCs w:val="14"/>
            <w:u w:val="single" w:color="auto"/>
            <w:color w:val="0000EE"/>
          </w:rPr>
          <w:t>Board of Directors Agreement, dated March 12, 2021, between Mobix Labs, Inc. and William Carpou (included as Exhibit 10.22 to the proxy statement/prospectus, which is a part of the</w:t>
        </w:r>
      </w:hyperlink>
      <w:r>
        <w:rPr>
          <w:rFonts w:ascii="Times New Roman" w:cs="Times New Roman" w:eastAsia="Times New Roman" w:hAnsi="Times New Roman"/>
          <w:sz w:val="14"/>
          <w:szCs w:val="14"/>
          <w:u w:val="single" w:color="auto"/>
          <w:color w:val="0000EE"/>
        </w:rPr>
        <w:t xml:space="preserve"> </w:t>
      </w:r>
      <w:hyperlink r:id="rId221">
        <w:r>
          <w:rPr>
            <w:rFonts w:ascii="Times New Roman" w:cs="Times New Roman" w:eastAsia="Times New Roman" w:hAnsi="Times New Roman"/>
            <w:sz w:val="14"/>
            <w:szCs w:val="14"/>
            <w:u w:val="single" w:color="auto"/>
            <w:color w:val="0000EE"/>
          </w:rPr>
          <w:t>Company’s Registration Statement on Form S-4 filed on November 13, 2023, and incorporated herein by reference).</w:t>
        </w:r>
      </w:hyperlink>
    </w:p>
    <w:p>
      <w:pPr>
        <w:spacing w:after="0" w:line="1" w:lineRule="exact"/>
        <w:rPr>
          <w:sz w:val="20"/>
          <w:szCs w:val="20"/>
          <w:color w:val="auto"/>
        </w:rPr>
      </w:pPr>
    </w:p>
    <w:p>
      <w:pPr>
        <w:ind w:left="620" w:hanging="612"/>
        <w:spacing w:after="0" w:line="25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10.13#</w:t>
      </w:r>
      <w:r>
        <w:rPr>
          <w:sz w:val="20"/>
          <w:szCs w:val="20"/>
          <w:color w:val="auto"/>
        </w:rPr>
        <w:tab/>
      </w:r>
      <w:hyperlink r:id="rId222">
        <w:r>
          <w:rPr>
            <w:rFonts w:ascii="Times New Roman" w:cs="Times New Roman" w:eastAsia="Times New Roman" w:hAnsi="Times New Roman"/>
            <w:sz w:val="14"/>
            <w:szCs w:val="14"/>
            <w:u w:val="single" w:color="auto"/>
            <w:color w:val="0000EE"/>
          </w:rPr>
          <w:t>Board of Directors Agreement, dated March 2, 2021, between Mobix Labs, Inc. and David Aldrich (included as Exhibit 10.23 to the proxy statement/prospectus, which is a part of the</w:t>
        </w:r>
      </w:hyperlink>
      <w:r>
        <w:rPr>
          <w:rFonts w:ascii="Times New Roman" w:cs="Times New Roman" w:eastAsia="Times New Roman" w:hAnsi="Times New Roman"/>
          <w:sz w:val="14"/>
          <w:szCs w:val="14"/>
          <w:u w:val="single" w:color="auto"/>
          <w:color w:val="0000EE"/>
        </w:rPr>
        <w:t xml:space="preserve"> </w:t>
      </w:r>
      <w:hyperlink r:id="rId222">
        <w:r>
          <w:rPr>
            <w:rFonts w:ascii="Times New Roman" w:cs="Times New Roman" w:eastAsia="Times New Roman" w:hAnsi="Times New Roman"/>
            <w:sz w:val="14"/>
            <w:szCs w:val="14"/>
            <w:u w:val="single" w:color="auto"/>
            <w:color w:val="0000EE"/>
          </w:rPr>
          <w:t>Company’s Registration Statement on Form S-4 filed on November 13, 2023, and incorporated herein by reference).</w:t>
        </w:r>
      </w:hyperlink>
    </w:p>
    <w:p>
      <w:pPr>
        <w:spacing w:after="0" w:line="1" w:lineRule="exact"/>
        <w:rPr>
          <w:sz w:val="20"/>
          <w:szCs w:val="20"/>
          <w:color w:val="auto"/>
        </w:rPr>
      </w:pPr>
    </w:p>
    <w:p>
      <w:pPr>
        <w:ind w:left="620" w:hanging="612"/>
        <w:spacing w:after="0" w:line="25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10.14#</w:t>
      </w:r>
      <w:r>
        <w:rPr>
          <w:sz w:val="20"/>
          <w:szCs w:val="20"/>
          <w:color w:val="auto"/>
        </w:rPr>
        <w:tab/>
      </w:r>
      <w:hyperlink r:id="rId223">
        <w:r>
          <w:rPr>
            <w:rFonts w:ascii="Times New Roman" w:cs="Times New Roman" w:eastAsia="Times New Roman" w:hAnsi="Times New Roman"/>
            <w:sz w:val="14"/>
            <w:szCs w:val="14"/>
            <w:u w:val="single" w:color="auto"/>
            <w:color w:val="0000EE"/>
          </w:rPr>
          <w:t>Board of Directors Agreement, dated February 1, 2021, between Mobix Labs, Inc. and James Peterson (included as Exhibit 10.24 to the proxy statement/prospectus, which is a part of</w:t>
        </w:r>
      </w:hyperlink>
      <w:r>
        <w:rPr>
          <w:rFonts w:ascii="Times New Roman" w:cs="Times New Roman" w:eastAsia="Times New Roman" w:hAnsi="Times New Roman"/>
          <w:sz w:val="14"/>
          <w:szCs w:val="14"/>
          <w:u w:val="single" w:color="auto"/>
          <w:color w:val="0000EE"/>
        </w:rPr>
        <w:t xml:space="preserve"> </w:t>
      </w:r>
      <w:hyperlink r:id="rId223">
        <w:r>
          <w:rPr>
            <w:rFonts w:ascii="Times New Roman" w:cs="Times New Roman" w:eastAsia="Times New Roman" w:hAnsi="Times New Roman"/>
            <w:sz w:val="14"/>
            <w:szCs w:val="14"/>
            <w:u w:val="single" w:color="auto"/>
            <w:color w:val="0000EE"/>
          </w:rPr>
          <w:t>the Company’s Registration Statement on Form S-4 filed on November 13, 2023, and incorporated herein by reference).</w:t>
        </w:r>
      </w:hyperlink>
    </w:p>
    <w:p>
      <w:pPr>
        <w:spacing w:after="0" w:line="1" w:lineRule="exact"/>
        <w:rPr>
          <w:sz w:val="20"/>
          <w:szCs w:val="20"/>
          <w:color w:val="auto"/>
        </w:rPr>
      </w:pPr>
    </w:p>
    <w:p>
      <w:pPr>
        <w:ind w:left="620" w:hanging="612"/>
        <w:spacing w:after="0" w:line="25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10.15#</w:t>
      </w:r>
      <w:r>
        <w:rPr>
          <w:sz w:val="20"/>
          <w:szCs w:val="20"/>
          <w:color w:val="auto"/>
        </w:rPr>
        <w:tab/>
      </w:r>
      <w:hyperlink r:id="rId224">
        <w:r>
          <w:rPr>
            <w:rFonts w:ascii="Times New Roman" w:cs="Times New Roman" w:eastAsia="Times New Roman" w:hAnsi="Times New Roman"/>
            <w:sz w:val="14"/>
            <w:szCs w:val="14"/>
            <w:u w:val="single" w:color="auto"/>
            <w:color w:val="0000EE"/>
          </w:rPr>
          <w:t>Board of Directors Agreement, dated February 1, 2021, between Mobix Labs, Inc. and Frederick Goerner (included as Exhibit 10.25 to the proxy statement/prospectus, which is a part of</w:t>
        </w:r>
      </w:hyperlink>
      <w:r>
        <w:rPr>
          <w:rFonts w:ascii="Times New Roman" w:cs="Times New Roman" w:eastAsia="Times New Roman" w:hAnsi="Times New Roman"/>
          <w:sz w:val="14"/>
          <w:szCs w:val="14"/>
          <w:u w:val="single" w:color="auto"/>
          <w:color w:val="0000EE"/>
        </w:rPr>
        <w:t xml:space="preserve"> </w:t>
      </w:r>
      <w:hyperlink r:id="rId224">
        <w:r>
          <w:rPr>
            <w:rFonts w:ascii="Times New Roman" w:cs="Times New Roman" w:eastAsia="Times New Roman" w:hAnsi="Times New Roman"/>
            <w:sz w:val="14"/>
            <w:szCs w:val="14"/>
            <w:u w:val="single" w:color="auto"/>
            <w:color w:val="0000EE"/>
          </w:rPr>
          <w:t>the Company’s Registration Statement on Form S-4 filed on November 13, 2023, and incorporated herein by reference).</w:t>
        </w:r>
      </w:hyperlink>
    </w:p>
    <w:p>
      <w:pPr>
        <w:spacing w:after="0" w:line="1" w:lineRule="exact"/>
        <w:rPr>
          <w:sz w:val="20"/>
          <w:szCs w:val="20"/>
          <w:color w:val="auto"/>
        </w:rPr>
      </w:pPr>
    </w:p>
    <w:p>
      <w:pPr>
        <w:ind w:left="620" w:hanging="612"/>
        <w:spacing w:after="0" w:line="25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10.16#</w:t>
      </w:r>
      <w:r>
        <w:rPr>
          <w:sz w:val="20"/>
          <w:szCs w:val="20"/>
          <w:color w:val="auto"/>
        </w:rPr>
        <w:tab/>
      </w:r>
      <w:hyperlink r:id="rId225">
        <w:r>
          <w:rPr>
            <w:rFonts w:ascii="Times New Roman" w:cs="Times New Roman" w:eastAsia="Times New Roman" w:hAnsi="Times New Roman"/>
            <w:sz w:val="14"/>
            <w:szCs w:val="14"/>
            <w:u w:val="single" w:color="auto"/>
            <w:color w:val="0000EE"/>
          </w:rPr>
          <w:t>First Amendment to Board of Directors Agreement, dated March 26, 2023, between Mobix Labs, Inc. and James Peterson (included as Exhibit 10.26 to the proxy statement/prospectus,</w:t>
        </w:r>
      </w:hyperlink>
      <w:r>
        <w:rPr>
          <w:rFonts w:ascii="Times New Roman" w:cs="Times New Roman" w:eastAsia="Times New Roman" w:hAnsi="Times New Roman"/>
          <w:sz w:val="14"/>
          <w:szCs w:val="14"/>
          <w:u w:val="single" w:color="auto"/>
          <w:color w:val="0000EE"/>
        </w:rPr>
        <w:t xml:space="preserve"> </w:t>
      </w:r>
      <w:hyperlink r:id="rId225">
        <w:r>
          <w:rPr>
            <w:rFonts w:ascii="Times New Roman" w:cs="Times New Roman" w:eastAsia="Times New Roman" w:hAnsi="Times New Roman"/>
            <w:sz w:val="14"/>
            <w:szCs w:val="14"/>
            <w:u w:val="single" w:color="auto"/>
            <w:color w:val="0000EE"/>
          </w:rPr>
          <w:t>which is a part of the Company’s Registration Statement on Form S-4 filed on November 13, 2023, and incorporated herein by reference).</w:t>
        </w:r>
      </w:hyperlink>
    </w:p>
    <w:p>
      <w:pPr>
        <w:spacing w:after="0" w:line="1" w:lineRule="exact"/>
        <w:rPr>
          <w:sz w:val="20"/>
          <w:szCs w:val="20"/>
          <w:color w:val="auto"/>
        </w:rPr>
      </w:pPr>
    </w:p>
    <w:p>
      <w:pPr>
        <w:ind w:left="620" w:hanging="612"/>
        <w:spacing w:after="0" w:line="25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10.17#</w:t>
      </w:r>
      <w:r>
        <w:rPr>
          <w:sz w:val="20"/>
          <w:szCs w:val="20"/>
          <w:color w:val="auto"/>
        </w:rPr>
        <w:tab/>
      </w:r>
      <w:hyperlink r:id="rId226">
        <w:r>
          <w:rPr>
            <w:rFonts w:ascii="Times New Roman" w:cs="Times New Roman" w:eastAsia="Times New Roman" w:hAnsi="Times New Roman"/>
            <w:sz w:val="14"/>
            <w:szCs w:val="14"/>
            <w:u w:val="single" w:color="auto"/>
            <w:color w:val="0000EE"/>
          </w:rPr>
          <w:t>First Amendment to Board of Directors Agreement, dated March 26, 2023, between Mobix Labs, Inc. and Frederick Goerner (included as Exhibit 10.27 to the proxy</w:t>
        </w:r>
      </w:hyperlink>
      <w:r>
        <w:rPr>
          <w:rFonts w:ascii="Times New Roman" w:cs="Times New Roman" w:eastAsia="Times New Roman" w:hAnsi="Times New Roman"/>
          <w:sz w:val="14"/>
          <w:szCs w:val="14"/>
          <w:u w:val="single" w:color="auto"/>
          <w:color w:val="0000EE"/>
        </w:rPr>
        <w:t xml:space="preserve"> </w:t>
      </w:r>
      <w:hyperlink r:id="rId226">
        <w:r>
          <w:rPr>
            <w:rFonts w:ascii="Times New Roman" w:cs="Times New Roman" w:eastAsia="Times New Roman" w:hAnsi="Times New Roman"/>
            <w:sz w:val="14"/>
            <w:szCs w:val="14"/>
            <w:u w:val="single" w:color="auto"/>
            <w:color w:val="0000EE"/>
          </w:rPr>
          <w:t>statement/prospectus, which is a part of the Company’s Registration Statement on Form S-4 filed on November 13, 2023, and incorporated herein by reference).</w:t>
        </w:r>
      </w:hyperlink>
    </w:p>
    <w:p>
      <w:pPr>
        <w:spacing w:after="0" w:line="1" w:lineRule="exact"/>
        <w:rPr>
          <w:sz w:val="20"/>
          <w:szCs w:val="20"/>
          <w:color w:val="auto"/>
        </w:rPr>
      </w:pPr>
    </w:p>
    <w:p>
      <w:pPr>
        <w:ind w:left="620" w:hanging="612"/>
        <w:spacing w:after="0" w:line="25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10.18</w:t>
      </w:r>
      <w:r>
        <w:rPr>
          <w:sz w:val="20"/>
          <w:szCs w:val="20"/>
          <w:color w:val="auto"/>
        </w:rPr>
        <w:tab/>
      </w:r>
      <w:hyperlink r:id="rId227">
        <w:r>
          <w:rPr>
            <w:rFonts w:ascii="Times New Roman" w:cs="Times New Roman" w:eastAsia="Times New Roman" w:hAnsi="Times New Roman"/>
            <w:sz w:val="14"/>
            <w:szCs w:val="14"/>
            <w:u w:val="single" w:color="auto"/>
            <w:color w:val="0000EE"/>
          </w:rPr>
          <w:t>Subscription Agreement, effective as of December 18, 2023, by and among Chavant Capital Acquisition Corp., Mobix Labs, Inc. and Sage Hill Investors, LLC (incorporated by</w:t>
        </w:r>
      </w:hyperlink>
      <w:r>
        <w:rPr>
          <w:rFonts w:ascii="Times New Roman" w:cs="Times New Roman" w:eastAsia="Times New Roman" w:hAnsi="Times New Roman"/>
          <w:sz w:val="14"/>
          <w:szCs w:val="14"/>
          <w:u w:val="single" w:color="auto"/>
          <w:color w:val="0000EE"/>
        </w:rPr>
        <w:t xml:space="preserve"> </w:t>
      </w:r>
      <w:hyperlink r:id="rId227">
        <w:r>
          <w:rPr>
            <w:rFonts w:ascii="Times New Roman" w:cs="Times New Roman" w:eastAsia="Times New Roman" w:hAnsi="Times New Roman"/>
            <w:sz w:val="14"/>
            <w:szCs w:val="14"/>
            <w:u w:val="single" w:color="auto"/>
            <w:color w:val="0000EE"/>
          </w:rPr>
          <w:t>reference to Exhibit 10.1 to Chavant’s Current Report on Form 8-K filed on December 19, 2023).</w:t>
        </w:r>
      </w:hyperlink>
    </w:p>
    <w:p>
      <w:pPr>
        <w:spacing w:after="0" w:line="1" w:lineRule="exact"/>
        <w:rPr>
          <w:sz w:val="20"/>
          <w:szCs w:val="20"/>
          <w:color w:val="auto"/>
        </w:rPr>
      </w:pPr>
    </w:p>
    <w:p>
      <w:pPr>
        <w:ind w:left="620" w:hanging="612"/>
        <w:spacing w:after="0" w:line="25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10.19</w:t>
      </w:r>
      <w:r>
        <w:rPr>
          <w:sz w:val="20"/>
          <w:szCs w:val="20"/>
          <w:color w:val="auto"/>
        </w:rPr>
        <w:tab/>
      </w:r>
      <w:hyperlink r:id="rId228">
        <w:r>
          <w:rPr>
            <w:rFonts w:ascii="Times New Roman" w:cs="Times New Roman" w:eastAsia="Times New Roman" w:hAnsi="Times New Roman"/>
            <w:sz w:val="14"/>
            <w:szCs w:val="14"/>
            <w:u w:val="single" w:color="auto"/>
            <w:color w:val="0000EE"/>
          </w:rPr>
          <w:t>Warrant to Purchase Shares of Common Stock, dated December 14, 2023, by and between Mobix Labs, Inc. and Sage Hill Investors, LLC (incorporated by reference to Exhibit 10.2 to</w:t>
        </w:r>
      </w:hyperlink>
      <w:r>
        <w:rPr>
          <w:rFonts w:ascii="Times New Roman" w:cs="Times New Roman" w:eastAsia="Times New Roman" w:hAnsi="Times New Roman"/>
          <w:sz w:val="14"/>
          <w:szCs w:val="14"/>
          <w:u w:val="single" w:color="auto"/>
          <w:color w:val="0000EE"/>
        </w:rPr>
        <w:t xml:space="preserve"> </w:t>
      </w:r>
      <w:hyperlink r:id="rId228">
        <w:r>
          <w:rPr>
            <w:rFonts w:ascii="Times New Roman" w:cs="Times New Roman" w:eastAsia="Times New Roman" w:hAnsi="Times New Roman"/>
            <w:sz w:val="14"/>
            <w:szCs w:val="14"/>
            <w:u w:val="single" w:color="auto"/>
            <w:color w:val="0000EE"/>
          </w:rPr>
          <w:t>Chavant’s Current Report on Form 8-K filed on December 19, 2023).</w:t>
        </w:r>
      </w:hyperlink>
    </w:p>
    <w:p>
      <w:pPr>
        <w:spacing w:after="0" w:line="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10.20</w:t>
      </w:r>
      <w:r>
        <w:rPr>
          <w:sz w:val="20"/>
          <w:szCs w:val="20"/>
          <w:color w:val="auto"/>
        </w:rPr>
        <w:tab/>
      </w:r>
      <w:hyperlink r:id="rId229">
        <w:r>
          <w:rPr>
            <w:rFonts w:ascii="Times New Roman" w:cs="Times New Roman" w:eastAsia="Times New Roman" w:hAnsi="Times New Roman"/>
            <w:sz w:val="14"/>
            <w:szCs w:val="14"/>
            <w:u w:val="single" w:color="auto"/>
            <w:color w:val="0000EE"/>
          </w:rPr>
          <w:t>Warrant to Purchase Shares of Common Stock, dated December 20, 2023, by and between Mobix Labs, Inc. and Chavant Capital Partners LLC (incorporated by reference to Exhibit</w:t>
        </w:r>
      </w:hyperlink>
    </w:p>
    <w:p>
      <w:pPr>
        <w:spacing w:after="0" w:line="11" w:lineRule="exact"/>
        <w:rPr>
          <w:sz w:val="20"/>
          <w:szCs w:val="20"/>
          <w:color w:val="auto"/>
        </w:rPr>
      </w:pPr>
    </w:p>
    <w:p>
      <w:pPr>
        <w:ind w:left="620"/>
        <w:spacing w:after="0"/>
        <w:rPr>
          <w:rFonts w:ascii="Times New Roman" w:cs="Times New Roman" w:eastAsia="Times New Roman" w:hAnsi="Times New Roman"/>
          <w:sz w:val="14"/>
          <w:szCs w:val="14"/>
          <w:u w:val="single" w:color="auto"/>
          <w:color w:val="0000EE"/>
        </w:rPr>
      </w:pPr>
      <w:hyperlink r:id="rId229">
        <w:r>
          <w:rPr>
            <w:rFonts w:ascii="Times New Roman" w:cs="Times New Roman" w:eastAsia="Times New Roman" w:hAnsi="Times New Roman"/>
            <w:sz w:val="14"/>
            <w:szCs w:val="14"/>
            <w:u w:val="single" w:color="auto"/>
            <w:color w:val="0000EE"/>
          </w:rPr>
          <w:t>10.2 to Mobix Labs, Inc.’s Current Report on Form 8-K filed on December 26, 2023).</w:t>
        </w:r>
      </w:hyperlink>
    </w:p>
    <w:p>
      <w:pPr>
        <w:spacing w:after="0" w:line="1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10.21</w:t>
      </w:r>
      <w:r>
        <w:rPr>
          <w:sz w:val="20"/>
          <w:szCs w:val="20"/>
          <w:color w:val="auto"/>
        </w:rPr>
        <w:tab/>
      </w:r>
      <w:hyperlink r:id="rId230">
        <w:r>
          <w:rPr>
            <w:rFonts w:ascii="Times New Roman" w:cs="Times New Roman" w:eastAsia="Times New Roman" w:hAnsi="Times New Roman"/>
            <w:sz w:val="14"/>
            <w:szCs w:val="14"/>
            <w:u w:val="single" w:color="auto"/>
            <w:color w:val="0000EE"/>
          </w:rPr>
          <w:t>Form of Additional PIPE Subscription Agreement (incorporated by reference to Exhibit 10.4 to Mobix Labs, Inc.’s Current Report on Form 8-K filed on December 26, 2023).</w:t>
        </w:r>
      </w:hyperlink>
    </w:p>
    <w:p>
      <w:pPr>
        <w:spacing w:after="0" w:line="11" w:lineRule="exact"/>
        <w:rPr>
          <w:sz w:val="20"/>
          <w:szCs w:val="20"/>
          <w:color w:val="auto"/>
        </w:rPr>
      </w:pPr>
    </w:p>
    <w:p>
      <w:pPr>
        <w:ind w:left="620" w:hanging="612"/>
        <w:spacing w:after="0" w:line="25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10.22</w:t>
      </w:r>
      <w:r>
        <w:rPr>
          <w:sz w:val="20"/>
          <w:szCs w:val="20"/>
          <w:color w:val="auto"/>
        </w:rPr>
        <w:tab/>
      </w:r>
      <w:hyperlink r:id="rId231">
        <w:r>
          <w:rPr>
            <w:rFonts w:ascii="Times New Roman" w:cs="Times New Roman" w:eastAsia="Times New Roman" w:hAnsi="Times New Roman"/>
            <w:sz w:val="14"/>
            <w:szCs w:val="14"/>
            <w:u w:val="single" w:color="auto"/>
            <w:color w:val="0000EE"/>
          </w:rPr>
          <w:t>Form of Converted Additional Warrant to Purchase Shares of Common Stock of Mobix Labs, Inc. (incorporated by reference to Exhibit 10.5 to Mobix Labs, Inc.’s Current Report on</w:t>
        </w:r>
      </w:hyperlink>
      <w:r>
        <w:rPr>
          <w:rFonts w:ascii="Times New Roman" w:cs="Times New Roman" w:eastAsia="Times New Roman" w:hAnsi="Times New Roman"/>
          <w:sz w:val="14"/>
          <w:szCs w:val="14"/>
          <w:u w:val="single" w:color="auto"/>
          <w:color w:val="0000EE"/>
        </w:rPr>
        <w:t xml:space="preserve"> </w:t>
      </w:r>
      <w:hyperlink r:id="rId231">
        <w:r>
          <w:rPr>
            <w:rFonts w:ascii="Times New Roman" w:cs="Times New Roman" w:eastAsia="Times New Roman" w:hAnsi="Times New Roman"/>
            <w:sz w:val="14"/>
            <w:szCs w:val="14"/>
            <w:u w:val="single" w:color="auto"/>
            <w:color w:val="0000EE"/>
          </w:rPr>
          <w:t>Form 8-K filed on December 26, 2023).</w:t>
        </w:r>
      </w:hyperlink>
    </w:p>
    <w:p>
      <w:pPr>
        <w:spacing w:after="0" w:line="1" w:lineRule="exact"/>
        <w:rPr>
          <w:sz w:val="20"/>
          <w:szCs w:val="20"/>
          <w:color w:val="auto"/>
        </w:rPr>
      </w:pPr>
    </w:p>
    <w:p>
      <w:pPr>
        <w:ind w:left="620" w:hanging="612"/>
        <w:spacing w:after="0" w:line="273"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10.23</w:t>
      </w:r>
      <w:r>
        <w:rPr>
          <w:sz w:val="20"/>
          <w:szCs w:val="20"/>
          <w:color w:val="auto"/>
        </w:rPr>
        <w:tab/>
      </w:r>
      <w:hyperlink r:id="rId232">
        <w:r>
          <w:rPr>
            <w:rFonts w:ascii="Times New Roman" w:cs="Times New Roman" w:eastAsia="Times New Roman" w:hAnsi="Times New Roman"/>
            <w:sz w:val="14"/>
            <w:szCs w:val="14"/>
            <w:u w:val="single" w:color="auto"/>
            <w:color w:val="0000EE"/>
          </w:rPr>
          <w:t>Form of Non-Converted Additional Warrant to Purchase Shares of Common Stock of Mobix Labs, Inc. (incorporated by reference to Exhibit 10.6 to Mobix Labs, Inc.’s Current Report</w:t>
        </w:r>
      </w:hyperlink>
      <w:r>
        <w:rPr>
          <w:rFonts w:ascii="Times New Roman" w:cs="Times New Roman" w:eastAsia="Times New Roman" w:hAnsi="Times New Roman"/>
          <w:sz w:val="14"/>
          <w:szCs w:val="14"/>
          <w:u w:val="single" w:color="auto"/>
          <w:color w:val="0000EE"/>
        </w:rPr>
        <w:t xml:space="preserve"> </w:t>
      </w:r>
      <w:hyperlink r:id="rId232">
        <w:r>
          <w:rPr>
            <w:rFonts w:ascii="Times New Roman" w:cs="Times New Roman" w:eastAsia="Times New Roman" w:hAnsi="Times New Roman"/>
            <w:sz w:val="14"/>
            <w:szCs w:val="14"/>
            <w:u w:val="single" w:color="auto"/>
            <w:color w:val="0000EE"/>
          </w:rPr>
          <w:t>on Form 8-K filed on December 26, 2023).</w:t>
        </w:r>
      </w:hyperlink>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171" w:name="page172"/>
    <w:bookmarkEnd w:id="171"/>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10.24^</w:t>
      </w:r>
      <w:r>
        <w:rPr>
          <w:sz w:val="20"/>
          <w:szCs w:val="20"/>
          <w:color w:val="auto"/>
        </w:rPr>
        <w:tab/>
      </w:r>
      <w:hyperlink r:id="rId234">
        <w:r>
          <w:rPr>
            <w:rFonts w:ascii="Times New Roman" w:cs="Times New Roman" w:eastAsia="Times New Roman" w:hAnsi="Times New Roman"/>
            <w:sz w:val="14"/>
            <w:szCs w:val="14"/>
            <w:u w:val="single" w:color="auto"/>
            <w:color w:val="0000EE"/>
          </w:rPr>
          <w:t>Form of Securities Purchase Agreement, dated as of July 22, 2024 (incorporated by reference to Exhibit 10.1 to Mobix Labs, Inc.’s Current Report on Form 8-K filed on July 24, 2024).</w:t>
        </w:r>
      </w:hyperlink>
    </w:p>
    <w:p>
      <w:pPr>
        <w:spacing w:after="0" w:line="25"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10.25</w:t>
      </w:r>
      <w:r>
        <w:rPr>
          <w:sz w:val="20"/>
          <w:szCs w:val="20"/>
          <w:color w:val="auto"/>
        </w:rPr>
        <w:tab/>
      </w:r>
      <w:hyperlink r:id="rId235">
        <w:r>
          <w:rPr>
            <w:rFonts w:ascii="Times New Roman" w:cs="Times New Roman" w:eastAsia="Times New Roman" w:hAnsi="Times New Roman"/>
            <w:sz w:val="14"/>
            <w:szCs w:val="14"/>
            <w:u w:val="single" w:color="auto"/>
            <w:color w:val="0000EE"/>
          </w:rPr>
          <w:t>Form of Registration Rights Agreement, dated as of July 22, 2024 (incorporated by reference to Exhibit 10.2 to Mobix Labs, Inc.’s Current Report on Form 8-K filed on July 24, 2024).</w:t>
        </w:r>
      </w:hyperlink>
    </w:p>
    <w:p>
      <w:pPr>
        <w:spacing w:after="0" w:line="1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10.26</w:t>
      </w:r>
      <w:r>
        <w:rPr>
          <w:sz w:val="20"/>
          <w:szCs w:val="20"/>
          <w:color w:val="auto"/>
        </w:rPr>
        <w:tab/>
      </w:r>
      <w:hyperlink r:id="rId236">
        <w:r>
          <w:rPr>
            <w:rFonts w:ascii="Times New Roman" w:cs="Times New Roman" w:eastAsia="Times New Roman" w:hAnsi="Times New Roman"/>
            <w:sz w:val="14"/>
            <w:szCs w:val="14"/>
            <w:u w:val="single" w:color="auto"/>
            <w:color w:val="0000EE"/>
          </w:rPr>
          <w:t>Form of Lock-Up Agreement, dated as of July 24, 2024 (incorporated by reference to Exhibit 10.3 to Mobix Labs, Inc.’s Current Report on Form 8-K filed on July 24, 2024).</w:t>
        </w:r>
      </w:hyperlink>
    </w:p>
    <w:p>
      <w:pPr>
        <w:spacing w:after="0" w:line="1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10.27</w:t>
      </w:r>
      <w:r>
        <w:rPr>
          <w:sz w:val="20"/>
          <w:szCs w:val="20"/>
          <w:color w:val="auto"/>
        </w:rPr>
        <w:tab/>
      </w:r>
      <w:hyperlink r:id="rId237">
        <w:r>
          <w:rPr>
            <w:rFonts w:ascii="Times New Roman" w:cs="Times New Roman" w:eastAsia="Times New Roman" w:hAnsi="Times New Roman"/>
            <w:sz w:val="14"/>
            <w:szCs w:val="14"/>
            <w:u w:val="single" w:color="auto"/>
            <w:color w:val="0000EE"/>
          </w:rPr>
          <w:t>Form of Placement Agency Agreement, dated as of April 4, 2025 (incorporated by reference to Exhibit 10.1 to Mobix Labs, Inc.’s Current Report on Form 8-K filed on April 7, 2025).</w:t>
        </w:r>
      </w:hyperlink>
    </w:p>
    <w:p>
      <w:pPr>
        <w:spacing w:after="0" w:line="1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10.28</w:t>
      </w:r>
      <w:r>
        <w:rPr>
          <w:sz w:val="20"/>
          <w:szCs w:val="20"/>
          <w:color w:val="auto"/>
        </w:rPr>
        <w:tab/>
      </w:r>
      <w:hyperlink r:id="rId238">
        <w:r>
          <w:rPr>
            <w:rFonts w:ascii="Times New Roman" w:cs="Times New Roman" w:eastAsia="Times New Roman" w:hAnsi="Times New Roman"/>
            <w:sz w:val="14"/>
            <w:szCs w:val="14"/>
            <w:u w:val="single" w:color="auto"/>
            <w:color w:val="0000EE"/>
          </w:rPr>
          <w:t>Form of Securities Purchase Agreement, dated as of April 4, 2025 (incorporated by reference to Exhibit 10.2 to Mobix Labs, Inc.’s Current Report on Form 8-K filed on April 7, 2025).</w:t>
        </w:r>
      </w:hyperlink>
    </w:p>
    <w:p>
      <w:pPr>
        <w:spacing w:after="0" w:line="11" w:lineRule="exact"/>
        <w:rPr>
          <w:sz w:val="20"/>
          <w:szCs w:val="20"/>
          <w:color w:val="auto"/>
        </w:rPr>
      </w:pPr>
    </w:p>
    <w:p>
      <w:pPr>
        <w:spacing w:after="0"/>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10.29#</w:t>
      </w:r>
      <w:r>
        <w:rPr>
          <w:sz w:val="20"/>
          <w:szCs w:val="20"/>
          <w:color w:val="auto"/>
        </w:rPr>
        <w:tab/>
      </w:r>
      <w:hyperlink r:id="rId239">
        <w:r>
          <w:rPr>
            <w:rFonts w:ascii="Times New Roman" w:cs="Times New Roman" w:eastAsia="Times New Roman" w:hAnsi="Times New Roman"/>
            <w:sz w:val="14"/>
            <w:szCs w:val="14"/>
            <w:u w:val="single" w:color="auto"/>
            <w:color w:val="0000EE"/>
          </w:rPr>
          <w:t>Amended and Restated Restricted Stock Unit Award Agreement by and between Mobix Labs, Inc. and James Peterson dated as of April 11, 2025 (incorporated by reference to Exhibit</w:t>
        </w:r>
      </w:hyperlink>
    </w:p>
    <w:p>
      <w:pPr>
        <w:spacing w:after="0" w:line="11" w:lineRule="exact"/>
        <w:rPr>
          <w:sz w:val="20"/>
          <w:szCs w:val="20"/>
          <w:color w:val="auto"/>
        </w:rPr>
      </w:pPr>
    </w:p>
    <w:p>
      <w:pPr>
        <w:ind w:left="620"/>
        <w:spacing w:after="0"/>
        <w:rPr>
          <w:rFonts w:ascii="Times New Roman" w:cs="Times New Roman" w:eastAsia="Times New Roman" w:hAnsi="Times New Roman"/>
          <w:sz w:val="14"/>
          <w:szCs w:val="14"/>
          <w:u w:val="single" w:color="auto"/>
          <w:color w:val="0000EE"/>
        </w:rPr>
      </w:pPr>
      <w:hyperlink r:id="rId239">
        <w:r>
          <w:rPr>
            <w:rFonts w:ascii="Times New Roman" w:cs="Times New Roman" w:eastAsia="Times New Roman" w:hAnsi="Times New Roman"/>
            <w:sz w:val="14"/>
            <w:szCs w:val="14"/>
            <w:u w:val="single" w:color="auto"/>
            <w:color w:val="0000EE"/>
          </w:rPr>
          <w:t>10.1 to Mobix Labs, Inc.’s Quarterly Report on Form 10-Q filed on May 15, 2025).</w:t>
        </w:r>
      </w:hyperlink>
    </w:p>
    <w:p>
      <w:pPr>
        <w:spacing w:after="0" w:line="11" w:lineRule="exact"/>
        <w:rPr>
          <w:sz w:val="20"/>
          <w:szCs w:val="20"/>
          <w:color w:val="auto"/>
        </w:rPr>
      </w:pPr>
    </w:p>
    <w:p>
      <w:pPr>
        <w:ind w:left="620" w:hanging="612"/>
        <w:spacing w:after="0" w:line="25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10.30#</w:t>
      </w:r>
      <w:r>
        <w:rPr>
          <w:sz w:val="20"/>
          <w:szCs w:val="20"/>
          <w:color w:val="auto"/>
        </w:rPr>
        <w:tab/>
      </w:r>
      <w:hyperlink r:id="rId240">
        <w:r>
          <w:rPr>
            <w:rFonts w:ascii="Times New Roman" w:cs="Times New Roman" w:eastAsia="Times New Roman" w:hAnsi="Times New Roman"/>
            <w:sz w:val="14"/>
            <w:szCs w:val="14"/>
            <w:u w:val="single" w:color="auto"/>
            <w:color w:val="0000EE"/>
          </w:rPr>
          <w:t>Amended and Restated Restricted Stock Unit Award Agreement by and between Mobix Labs, Inc. and Frederick Goerner dated as of April 11, 2025 (incorporated by reference to</w:t>
        </w:r>
      </w:hyperlink>
      <w:r>
        <w:rPr>
          <w:rFonts w:ascii="Times New Roman" w:cs="Times New Roman" w:eastAsia="Times New Roman" w:hAnsi="Times New Roman"/>
          <w:sz w:val="14"/>
          <w:szCs w:val="14"/>
          <w:u w:val="single" w:color="auto"/>
          <w:color w:val="0000EE"/>
        </w:rPr>
        <w:t xml:space="preserve"> </w:t>
      </w:r>
      <w:hyperlink r:id="rId240">
        <w:r>
          <w:rPr>
            <w:rFonts w:ascii="Times New Roman" w:cs="Times New Roman" w:eastAsia="Times New Roman" w:hAnsi="Times New Roman"/>
            <w:sz w:val="14"/>
            <w:szCs w:val="14"/>
            <w:u w:val="single" w:color="auto"/>
            <w:color w:val="0000EE"/>
          </w:rPr>
          <w:t>Exhibit 10.2 to Mobix Labs, Inc.’s Quarterly Report on Form 10-Q filed on May 15, 2025)</w:t>
        </w:r>
      </w:hyperlink>
    </w:p>
    <w:p>
      <w:pPr>
        <w:spacing w:after="0" w:line="1" w:lineRule="exact"/>
        <w:rPr>
          <w:sz w:val="20"/>
          <w:szCs w:val="20"/>
          <w:color w:val="auto"/>
        </w:rPr>
      </w:pPr>
    </w:p>
    <w:p>
      <w:pPr>
        <w:ind w:left="620" w:hanging="612"/>
        <w:spacing w:after="0" w:line="25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10.31#</w:t>
      </w:r>
      <w:r>
        <w:rPr>
          <w:sz w:val="20"/>
          <w:szCs w:val="20"/>
          <w:color w:val="auto"/>
        </w:rPr>
        <w:tab/>
      </w:r>
      <w:hyperlink r:id="rId241">
        <w:r>
          <w:rPr>
            <w:rFonts w:ascii="Times New Roman" w:cs="Times New Roman" w:eastAsia="Times New Roman" w:hAnsi="Times New Roman"/>
            <w:sz w:val="14"/>
            <w:szCs w:val="14"/>
            <w:u w:val="single" w:color="auto"/>
            <w:color w:val="0000EE"/>
          </w:rPr>
          <w:t>Restricted Stock Unit Award Agreement by and between Mobix Labs, Inc. and David Aldrich dated as of April 10, 2025 (incorporated by reference to Exhibit 99.3 of the Registrant’s</w:t>
        </w:r>
      </w:hyperlink>
      <w:r>
        <w:rPr>
          <w:rFonts w:ascii="Times New Roman" w:cs="Times New Roman" w:eastAsia="Times New Roman" w:hAnsi="Times New Roman"/>
          <w:sz w:val="14"/>
          <w:szCs w:val="14"/>
          <w:u w:val="single" w:color="auto"/>
          <w:color w:val="0000EE"/>
        </w:rPr>
        <w:t xml:space="preserve"> </w:t>
      </w:r>
      <w:hyperlink r:id="rId241">
        <w:r>
          <w:rPr>
            <w:rFonts w:ascii="Times New Roman" w:cs="Times New Roman" w:eastAsia="Times New Roman" w:hAnsi="Times New Roman"/>
            <w:sz w:val="14"/>
            <w:szCs w:val="14"/>
            <w:u w:val="single" w:color="auto"/>
            <w:color w:val="0000EE"/>
          </w:rPr>
          <w:t>Registration Statement on Form S-8 (File No. 333-286200), filed with the SEC on March 28, 2025).</w:t>
        </w:r>
      </w:hyperlink>
    </w:p>
    <w:p>
      <w:pPr>
        <w:spacing w:after="0" w:line="1" w:lineRule="exact"/>
        <w:rPr>
          <w:sz w:val="20"/>
          <w:szCs w:val="20"/>
          <w:color w:val="auto"/>
        </w:rPr>
      </w:pPr>
    </w:p>
    <w:p>
      <w:pPr>
        <w:ind w:left="620" w:hanging="612"/>
        <w:spacing w:after="0" w:line="25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10.32#</w:t>
      </w:r>
      <w:r>
        <w:rPr>
          <w:sz w:val="20"/>
          <w:szCs w:val="20"/>
          <w:color w:val="auto"/>
        </w:rPr>
        <w:tab/>
      </w:r>
      <w:hyperlink r:id="rId242">
        <w:r>
          <w:rPr>
            <w:rFonts w:ascii="Times New Roman" w:cs="Times New Roman" w:eastAsia="Times New Roman" w:hAnsi="Times New Roman"/>
            <w:sz w:val="14"/>
            <w:szCs w:val="14"/>
            <w:u w:val="single" w:color="auto"/>
            <w:color w:val="0000EE"/>
          </w:rPr>
          <w:t>Restricted Stock Unit Award Agreement by and between Mobix Labs, Inc. and Kurt Busch dated as of April 10, 2025 (incorporated by reference to Exhibit 99.4 of the Registrant’s</w:t>
        </w:r>
      </w:hyperlink>
      <w:r>
        <w:rPr>
          <w:rFonts w:ascii="Times New Roman" w:cs="Times New Roman" w:eastAsia="Times New Roman" w:hAnsi="Times New Roman"/>
          <w:sz w:val="14"/>
          <w:szCs w:val="14"/>
          <w:u w:val="single" w:color="auto"/>
          <w:color w:val="0000EE"/>
        </w:rPr>
        <w:t xml:space="preserve"> </w:t>
      </w:r>
      <w:hyperlink r:id="rId242">
        <w:r>
          <w:rPr>
            <w:rFonts w:ascii="Times New Roman" w:cs="Times New Roman" w:eastAsia="Times New Roman" w:hAnsi="Times New Roman"/>
            <w:sz w:val="14"/>
            <w:szCs w:val="14"/>
            <w:u w:val="single" w:color="auto"/>
            <w:color w:val="0000EE"/>
          </w:rPr>
          <w:t>Registration Statement on Form S-8 (File No. 333-286200), filed with the SEC on March 28, 2025).</w:t>
        </w:r>
      </w:hyperlink>
    </w:p>
    <w:p>
      <w:pPr>
        <w:spacing w:after="0" w:line="1" w:lineRule="exact"/>
        <w:rPr>
          <w:sz w:val="20"/>
          <w:szCs w:val="20"/>
          <w:color w:val="auto"/>
        </w:rPr>
      </w:pPr>
    </w:p>
    <w:p>
      <w:pPr>
        <w:ind w:left="620" w:hanging="612"/>
        <w:spacing w:after="0" w:line="25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10.33#</w:t>
      </w:r>
      <w:r>
        <w:rPr>
          <w:sz w:val="20"/>
          <w:szCs w:val="20"/>
          <w:color w:val="auto"/>
        </w:rPr>
        <w:tab/>
      </w:r>
      <w:hyperlink r:id="rId243">
        <w:r>
          <w:rPr>
            <w:rFonts w:ascii="Times New Roman" w:cs="Times New Roman" w:eastAsia="Times New Roman" w:hAnsi="Times New Roman"/>
            <w:sz w:val="14"/>
            <w:szCs w:val="14"/>
            <w:u w:val="single" w:color="auto"/>
            <w:color w:val="0000EE"/>
          </w:rPr>
          <w:t>Restricted Stock Unit Award Agreement by and between Mobix Labs, Inc. and William Carpou dated as of April 10, 2025 (incorporated by reference to Exhibit 99.5 of the Registrant’s</w:t>
        </w:r>
      </w:hyperlink>
      <w:r>
        <w:rPr>
          <w:rFonts w:ascii="Times New Roman" w:cs="Times New Roman" w:eastAsia="Times New Roman" w:hAnsi="Times New Roman"/>
          <w:sz w:val="14"/>
          <w:szCs w:val="14"/>
          <w:u w:val="single" w:color="auto"/>
          <w:color w:val="0000EE"/>
        </w:rPr>
        <w:t xml:space="preserve"> </w:t>
      </w:r>
      <w:hyperlink r:id="rId243">
        <w:r>
          <w:rPr>
            <w:rFonts w:ascii="Times New Roman" w:cs="Times New Roman" w:eastAsia="Times New Roman" w:hAnsi="Times New Roman"/>
            <w:sz w:val="14"/>
            <w:szCs w:val="14"/>
            <w:u w:val="single" w:color="auto"/>
            <w:color w:val="0000EE"/>
          </w:rPr>
          <w:t>Registration Statement on Form S-8 (File No. 333-286200), filed with the SEC on March 28, 2025).</w:t>
        </w:r>
      </w:hyperlink>
    </w:p>
    <w:p>
      <w:pPr>
        <w:spacing w:after="0" w:line="1" w:lineRule="exact"/>
        <w:rPr>
          <w:sz w:val="20"/>
          <w:szCs w:val="20"/>
          <w:color w:val="auto"/>
        </w:rPr>
      </w:pPr>
    </w:p>
    <w:p>
      <w:pPr>
        <w:ind w:left="620" w:hanging="612"/>
        <w:spacing w:after="0" w:line="256"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10.34#</w:t>
      </w:r>
      <w:r>
        <w:rPr>
          <w:sz w:val="20"/>
          <w:szCs w:val="20"/>
          <w:color w:val="auto"/>
        </w:rPr>
        <w:tab/>
      </w:r>
      <w:hyperlink r:id="rId244">
        <w:r>
          <w:rPr>
            <w:rFonts w:ascii="Times New Roman" w:cs="Times New Roman" w:eastAsia="Times New Roman" w:hAnsi="Times New Roman"/>
            <w:sz w:val="14"/>
            <w:szCs w:val="14"/>
            <w:u w:val="single" w:color="auto"/>
            <w:color w:val="0000EE"/>
          </w:rPr>
          <w:t>Amended and Restated Restricted Stock Award Agreement by and between Mobix Labs, Inc. and Keyvan Samini dated as of May 5, 2025 (incorporated by reference to Exhibit 10.7 to</w:t>
        </w:r>
      </w:hyperlink>
      <w:r>
        <w:rPr>
          <w:rFonts w:ascii="Times New Roman" w:cs="Times New Roman" w:eastAsia="Times New Roman" w:hAnsi="Times New Roman"/>
          <w:sz w:val="14"/>
          <w:szCs w:val="14"/>
          <w:u w:val="single" w:color="auto"/>
          <w:color w:val="0000EE"/>
        </w:rPr>
        <w:t xml:space="preserve"> </w:t>
      </w:r>
      <w:hyperlink r:id="rId244">
        <w:r>
          <w:rPr>
            <w:rFonts w:ascii="Times New Roman" w:cs="Times New Roman" w:eastAsia="Times New Roman" w:hAnsi="Times New Roman"/>
            <w:sz w:val="14"/>
            <w:szCs w:val="14"/>
            <w:u w:val="single" w:color="auto"/>
            <w:color w:val="0000EE"/>
          </w:rPr>
          <w:t>Mobix Labs, Inc.’s Quarterly Report on Form 10-Q filed on May 15, 2025).</w:t>
        </w:r>
      </w:hyperlink>
    </w:p>
    <w:p>
      <w:pPr>
        <w:spacing w:after="0" w:line="1" w:lineRule="exact"/>
        <w:rPr>
          <w:sz w:val="20"/>
          <w:szCs w:val="20"/>
          <w:color w:val="auto"/>
        </w:rPr>
      </w:pPr>
    </w:p>
    <w:p>
      <w:pPr>
        <w:ind w:left="620" w:hanging="612"/>
        <w:spacing w:after="0" w:line="273" w:lineRule="auto"/>
        <w:tabs>
          <w:tab w:leader="none" w:pos="6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10.35</w:t>
      </w:r>
      <w:r>
        <w:rPr>
          <w:sz w:val="20"/>
          <w:szCs w:val="20"/>
          <w:color w:val="auto"/>
        </w:rPr>
        <w:tab/>
      </w:r>
      <w:hyperlink r:id="rId245">
        <w:r>
          <w:rPr>
            <w:rFonts w:ascii="Times New Roman" w:cs="Times New Roman" w:eastAsia="Times New Roman" w:hAnsi="Times New Roman"/>
            <w:sz w:val="14"/>
            <w:szCs w:val="14"/>
            <w:u w:val="single" w:color="auto"/>
            <w:color w:val="0000EE"/>
          </w:rPr>
          <w:t>Senior Secured Promissory Note in favor of Lendspark Corporation, dated as of August 13, 2025 (incorporated by reference to Exhibit 10.48 to the Registrant’s Amendment No. 1 to the</w:t>
        </w:r>
      </w:hyperlink>
      <w:r>
        <w:rPr>
          <w:rFonts w:ascii="Times New Roman" w:cs="Times New Roman" w:eastAsia="Times New Roman" w:hAnsi="Times New Roman"/>
          <w:sz w:val="14"/>
          <w:szCs w:val="14"/>
          <w:u w:val="single" w:color="auto"/>
          <w:color w:val="0000EE"/>
        </w:rPr>
        <w:t xml:space="preserve"> </w:t>
      </w:r>
      <w:hyperlink r:id="rId245">
        <w:r>
          <w:rPr>
            <w:rFonts w:ascii="Times New Roman" w:cs="Times New Roman" w:eastAsia="Times New Roman" w:hAnsi="Times New Roman"/>
            <w:sz w:val="14"/>
            <w:szCs w:val="14"/>
            <w:u w:val="single" w:color="auto"/>
            <w:color w:val="0000EE"/>
          </w:rPr>
          <w:t>Registrant’s Registration Statement on Form S-1 (File No. 333-287493), filed with the SEC on October 14, 2025).</w:t>
        </w:r>
      </w:hyperlink>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5" w:right="31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10.36^</w:t>
            </w:r>
          </w:p>
        </w:tc>
        <w:tc>
          <w:tcPr>
            <w:tcW w:w="10640" w:type="dxa"/>
            <w:vAlign w:val="bottom"/>
            <w:tcBorders>
              <w:bottom w:val="single" w:sz="8" w:color="0000EE"/>
            </w:tcBorders>
            <w:gridSpan w:val="20"/>
          </w:tcPr>
          <w:p>
            <w:pPr>
              <w:spacing w:after="0"/>
              <w:rPr>
                <w:rFonts w:ascii="Times New Roman" w:cs="Times New Roman" w:eastAsia="Times New Roman" w:hAnsi="Times New Roman"/>
                <w:sz w:val="14"/>
                <w:szCs w:val="14"/>
                <w:color w:val="0000EE"/>
              </w:rPr>
            </w:pPr>
            <w:hyperlink r:id="rId247">
              <w:r>
                <w:rPr>
                  <w:rFonts w:ascii="Times New Roman" w:cs="Times New Roman" w:eastAsia="Times New Roman" w:hAnsi="Times New Roman"/>
                  <w:sz w:val="14"/>
                  <w:szCs w:val="14"/>
                  <w:color w:val="0000EE"/>
                </w:rPr>
                <w:t>Securities Purchase Agreement, by and between Mobix Labs, Inc. and Lendspark Corporation, dated as of August 13, 2025 (incorporated by reference to Exhibit 10.49 to the</w:t>
              </w:r>
            </w:hyperlink>
          </w:p>
        </w:tc>
      </w:tr>
      <w:tr>
        <w:trPr>
          <w:trHeight w:val="152"/>
        </w:trPr>
        <w:tc>
          <w:tcPr>
            <w:tcW w:w="640" w:type="dxa"/>
            <w:vAlign w:val="bottom"/>
          </w:tcPr>
          <w:p>
            <w:pPr>
              <w:spacing w:after="0"/>
              <w:rPr>
                <w:sz w:val="13"/>
                <w:szCs w:val="13"/>
                <w:color w:val="auto"/>
              </w:rPr>
            </w:pPr>
          </w:p>
        </w:tc>
        <w:tc>
          <w:tcPr>
            <w:tcW w:w="8740" w:type="dxa"/>
            <w:vAlign w:val="bottom"/>
            <w:tcBorders>
              <w:bottom w:val="single" w:sz="8" w:color="0000EE"/>
            </w:tcBorders>
            <w:gridSpan w:val="17"/>
          </w:tcPr>
          <w:p>
            <w:pPr>
              <w:spacing w:after="0" w:line="152" w:lineRule="exact"/>
              <w:rPr>
                <w:rFonts w:ascii="Times New Roman" w:cs="Times New Roman" w:eastAsia="Times New Roman" w:hAnsi="Times New Roman"/>
                <w:sz w:val="14"/>
                <w:szCs w:val="14"/>
                <w:color w:val="0000EE"/>
              </w:rPr>
            </w:pPr>
            <w:hyperlink r:id="rId247">
              <w:r>
                <w:rPr>
                  <w:rFonts w:ascii="Times New Roman" w:cs="Times New Roman" w:eastAsia="Times New Roman" w:hAnsi="Times New Roman"/>
                  <w:sz w:val="14"/>
                  <w:szCs w:val="14"/>
                  <w:color w:val="0000EE"/>
                </w:rPr>
                <w:t>Registrant’s Amendment No. 1 to the Registrant’s Registration Statement on Form S-1 (File No. 333-287493), filed with the SEC on October 14, 2025).</w:t>
              </w:r>
            </w:hyperlink>
          </w:p>
        </w:tc>
        <w:tc>
          <w:tcPr>
            <w:tcW w:w="1900" w:type="dxa"/>
            <w:vAlign w:val="bottom"/>
            <w:gridSpan w:val="3"/>
          </w:tcPr>
          <w:p>
            <w:pPr>
              <w:spacing w:after="0"/>
              <w:rPr>
                <w:sz w:val="13"/>
                <w:szCs w:val="13"/>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10.37^+</w:t>
            </w:r>
          </w:p>
        </w:tc>
        <w:tc>
          <w:tcPr>
            <w:tcW w:w="10640" w:type="dxa"/>
            <w:vAlign w:val="bottom"/>
            <w:tcBorders>
              <w:bottom w:val="single" w:sz="8" w:color="0000EE"/>
            </w:tcBorders>
            <w:gridSpan w:val="20"/>
          </w:tcPr>
          <w:p>
            <w:pPr>
              <w:spacing w:after="0" w:line="152" w:lineRule="exact"/>
              <w:rPr>
                <w:rFonts w:ascii="Times New Roman" w:cs="Times New Roman" w:eastAsia="Times New Roman" w:hAnsi="Times New Roman"/>
                <w:sz w:val="14"/>
                <w:szCs w:val="14"/>
                <w:color w:val="0000EE"/>
              </w:rPr>
            </w:pPr>
            <w:hyperlink r:id="rId248">
              <w:r>
                <w:rPr>
                  <w:rFonts w:ascii="Times New Roman" w:cs="Times New Roman" w:eastAsia="Times New Roman" w:hAnsi="Times New Roman"/>
                  <w:sz w:val="14"/>
                  <w:szCs w:val="14"/>
                  <w:color w:val="0000EE"/>
                </w:rPr>
                <w:t>Business Loan and Security Agreement, by and between Mobix Labs, Inc. and Maximcash Solutions LLC, dated as August 13, 2025 (incorporated by reference to Exhibit 10.50 to the</w:t>
              </w:r>
            </w:hyperlink>
          </w:p>
        </w:tc>
      </w:tr>
      <w:tr>
        <w:trPr>
          <w:trHeight w:val="152"/>
        </w:trPr>
        <w:tc>
          <w:tcPr>
            <w:tcW w:w="640" w:type="dxa"/>
            <w:vAlign w:val="bottom"/>
          </w:tcPr>
          <w:p>
            <w:pPr>
              <w:spacing w:after="0"/>
              <w:rPr>
                <w:sz w:val="13"/>
                <w:szCs w:val="13"/>
                <w:color w:val="auto"/>
              </w:rPr>
            </w:pPr>
          </w:p>
        </w:tc>
        <w:tc>
          <w:tcPr>
            <w:tcW w:w="8740" w:type="dxa"/>
            <w:vAlign w:val="bottom"/>
            <w:tcBorders>
              <w:bottom w:val="single" w:sz="8" w:color="0000EE"/>
            </w:tcBorders>
            <w:gridSpan w:val="17"/>
          </w:tcPr>
          <w:p>
            <w:pPr>
              <w:spacing w:after="0" w:line="152" w:lineRule="exact"/>
              <w:rPr>
                <w:rFonts w:ascii="Times New Roman" w:cs="Times New Roman" w:eastAsia="Times New Roman" w:hAnsi="Times New Roman"/>
                <w:sz w:val="14"/>
                <w:szCs w:val="14"/>
                <w:color w:val="0000EE"/>
              </w:rPr>
            </w:pPr>
            <w:hyperlink r:id="rId248">
              <w:r>
                <w:rPr>
                  <w:rFonts w:ascii="Times New Roman" w:cs="Times New Roman" w:eastAsia="Times New Roman" w:hAnsi="Times New Roman"/>
                  <w:sz w:val="14"/>
                  <w:szCs w:val="14"/>
                  <w:color w:val="0000EE"/>
                </w:rPr>
                <w:t>Registrant’s Amendment No. 1 to the Registrant’s Registration Statement on Form S-1 (File No. 333-287493), filed with the SEC on October 14, 2025).</w:t>
              </w:r>
            </w:hyperlink>
          </w:p>
        </w:tc>
        <w:tc>
          <w:tcPr>
            <w:tcW w:w="1900" w:type="dxa"/>
            <w:vAlign w:val="bottom"/>
            <w:gridSpan w:val="3"/>
          </w:tcPr>
          <w:p>
            <w:pPr>
              <w:spacing w:after="0"/>
              <w:rPr>
                <w:sz w:val="13"/>
                <w:szCs w:val="13"/>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10.38+</w:t>
            </w:r>
          </w:p>
        </w:tc>
        <w:tc>
          <w:tcPr>
            <w:tcW w:w="10640" w:type="dxa"/>
            <w:vAlign w:val="bottom"/>
            <w:tcBorders>
              <w:bottom w:val="single" w:sz="8" w:color="0000EE"/>
            </w:tcBorders>
            <w:gridSpan w:val="20"/>
          </w:tcPr>
          <w:p>
            <w:pPr>
              <w:spacing w:after="0" w:line="152" w:lineRule="exact"/>
              <w:rPr>
                <w:rFonts w:ascii="Times New Roman" w:cs="Times New Roman" w:eastAsia="Times New Roman" w:hAnsi="Times New Roman"/>
                <w:sz w:val="14"/>
                <w:szCs w:val="14"/>
                <w:color w:val="0000EE"/>
              </w:rPr>
            </w:pPr>
            <w:hyperlink r:id="rId249">
              <w:r>
                <w:rPr>
                  <w:rFonts w:ascii="Times New Roman" w:cs="Times New Roman" w:eastAsia="Times New Roman" w:hAnsi="Times New Roman"/>
                  <w:sz w:val="14"/>
                  <w:szCs w:val="14"/>
                  <w:color w:val="0000EE"/>
                </w:rPr>
                <w:t>Stock Pledge Agreement, by and between Mobix Labs, Inc. and Maximcash Solutions LLC, dated as August 13, 2025 (incorporated by reference to Exhibit 10.51 to the Registrant’s</w:t>
              </w:r>
            </w:hyperlink>
          </w:p>
        </w:tc>
      </w:tr>
      <w:tr>
        <w:trPr>
          <w:trHeight w:val="152"/>
        </w:trPr>
        <w:tc>
          <w:tcPr>
            <w:tcW w:w="640" w:type="dxa"/>
            <w:vAlign w:val="bottom"/>
          </w:tcPr>
          <w:p>
            <w:pPr>
              <w:spacing w:after="0"/>
              <w:rPr>
                <w:sz w:val="13"/>
                <w:szCs w:val="13"/>
                <w:color w:val="auto"/>
              </w:rPr>
            </w:pPr>
          </w:p>
        </w:tc>
        <w:tc>
          <w:tcPr>
            <w:tcW w:w="8040" w:type="dxa"/>
            <w:vAlign w:val="bottom"/>
            <w:tcBorders>
              <w:bottom w:val="single" w:sz="8" w:color="0000EE"/>
            </w:tcBorders>
            <w:gridSpan w:val="13"/>
          </w:tcPr>
          <w:p>
            <w:pPr>
              <w:spacing w:after="0" w:line="152" w:lineRule="exact"/>
              <w:rPr>
                <w:rFonts w:ascii="Times New Roman" w:cs="Times New Roman" w:eastAsia="Times New Roman" w:hAnsi="Times New Roman"/>
                <w:sz w:val="14"/>
                <w:szCs w:val="14"/>
                <w:color w:val="0000EE"/>
              </w:rPr>
            </w:pPr>
            <w:hyperlink r:id="rId249">
              <w:r>
                <w:rPr>
                  <w:rFonts w:ascii="Times New Roman" w:cs="Times New Roman" w:eastAsia="Times New Roman" w:hAnsi="Times New Roman"/>
                  <w:sz w:val="14"/>
                  <w:szCs w:val="14"/>
                  <w:color w:val="0000EE"/>
                </w:rPr>
                <w:t>Amendment No. 1 to the Registrant’s Registration Statement on Form S-1 (File No. 333-287493), filed with the SEC on October 14, 2025).</w:t>
              </w:r>
            </w:hyperlink>
          </w:p>
        </w:tc>
        <w:tc>
          <w:tcPr>
            <w:tcW w:w="2600" w:type="dxa"/>
            <w:vAlign w:val="bottom"/>
            <w:gridSpan w:val="7"/>
          </w:tcPr>
          <w:p>
            <w:pPr>
              <w:spacing w:after="0"/>
              <w:rPr>
                <w:sz w:val="13"/>
                <w:szCs w:val="13"/>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10.39^+</w:t>
            </w:r>
          </w:p>
        </w:tc>
        <w:tc>
          <w:tcPr>
            <w:tcW w:w="10640" w:type="dxa"/>
            <w:vAlign w:val="bottom"/>
            <w:tcBorders>
              <w:bottom w:val="single" w:sz="8" w:color="0000EE"/>
            </w:tcBorders>
            <w:gridSpan w:val="20"/>
          </w:tcPr>
          <w:p>
            <w:pPr>
              <w:spacing w:after="0" w:line="152" w:lineRule="exact"/>
              <w:rPr>
                <w:rFonts w:ascii="Times New Roman" w:cs="Times New Roman" w:eastAsia="Times New Roman" w:hAnsi="Times New Roman"/>
                <w:sz w:val="14"/>
                <w:szCs w:val="14"/>
                <w:color w:val="0000EE"/>
              </w:rPr>
            </w:pPr>
            <w:hyperlink r:id="rId250">
              <w:r>
                <w:rPr>
                  <w:rFonts w:ascii="Times New Roman" w:cs="Times New Roman" w:eastAsia="Times New Roman" w:hAnsi="Times New Roman"/>
                  <w:sz w:val="14"/>
                  <w:szCs w:val="14"/>
                  <w:color w:val="0000EE"/>
                </w:rPr>
                <w:t>Stock Purchase Agreement, by and between Mobix Labs, Inc. and Charles William Jacobson, dated as of August 15, 2025 (incorporated by reference to Exhibit 10.52 to the Registrant’s</w:t>
              </w:r>
            </w:hyperlink>
          </w:p>
        </w:tc>
      </w:tr>
      <w:tr>
        <w:trPr>
          <w:trHeight w:val="152"/>
        </w:trPr>
        <w:tc>
          <w:tcPr>
            <w:tcW w:w="640" w:type="dxa"/>
            <w:vAlign w:val="bottom"/>
          </w:tcPr>
          <w:p>
            <w:pPr>
              <w:spacing w:after="0"/>
              <w:rPr>
                <w:sz w:val="13"/>
                <w:szCs w:val="13"/>
                <w:color w:val="auto"/>
              </w:rPr>
            </w:pPr>
          </w:p>
        </w:tc>
        <w:tc>
          <w:tcPr>
            <w:tcW w:w="8020" w:type="dxa"/>
            <w:vAlign w:val="bottom"/>
            <w:tcBorders>
              <w:bottom w:val="single" w:sz="8" w:color="0000EE"/>
            </w:tcBorders>
            <w:gridSpan w:val="12"/>
          </w:tcPr>
          <w:p>
            <w:pPr>
              <w:spacing w:after="0" w:line="152" w:lineRule="exact"/>
              <w:rPr>
                <w:rFonts w:ascii="Times New Roman" w:cs="Times New Roman" w:eastAsia="Times New Roman" w:hAnsi="Times New Roman"/>
                <w:sz w:val="14"/>
                <w:szCs w:val="14"/>
                <w:color w:val="0000EE"/>
              </w:rPr>
            </w:pPr>
            <w:hyperlink r:id="rId250">
              <w:r>
                <w:rPr>
                  <w:rFonts w:ascii="Times New Roman" w:cs="Times New Roman" w:eastAsia="Times New Roman" w:hAnsi="Times New Roman"/>
                  <w:sz w:val="14"/>
                  <w:szCs w:val="14"/>
                  <w:color w:val="0000EE"/>
                </w:rPr>
                <w:t>Amendment No. 1 to the Registrant’s Registration Statement on Form S-1 (File No. 333-287493), filed with the SEC on October 14, 2025).</w:t>
              </w:r>
            </w:hyperlink>
          </w:p>
        </w:tc>
        <w:tc>
          <w:tcPr>
            <w:tcW w:w="2620" w:type="dxa"/>
            <w:vAlign w:val="bottom"/>
            <w:gridSpan w:val="8"/>
          </w:tcPr>
          <w:p>
            <w:pPr>
              <w:spacing w:after="0"/>
              <w:rPr>
                <w:sz w:val="13"/>
                <w:szCs w:val="13"/>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10.40</w:t>
            </w:r>
          </w:p>
        </w:tc>
        <w:tc>
          <w:tcPr>
            <w:tcW w:w="10640" w:type="dxa"/>
            <w:vAlign w:val="bottom"/>
            <w:tcBorders>
              <w:bottom w:val="single" w:sz="8" w:color="0000EE"/>
            </w:tcBorders>
            <w:gridSpan w:val="20"/>
          </w:tcPr>
          <w:p>
            <w:pPr>
              <w:spacing w:after="0" w:line="152" w:lineRule="exact"/>
              <w:rPr>
                <w:rFonts w:ascii="Times New Roman" w:cs="Times New Roman" w:eastAsia="Times New Roman" w:hAnsi="Times New Roman"/>
                <w:sz w:val="14"/>
                <w:szCs w:val="14"/>
                <w:color w:val="0000EE"/>
              </w:rPr>
            </w:pPr>
            <w:hyperlink r:id="rId251">
              <w:r>
                <w:rPr>
                  <w:rFonts w:ascii="Times New Roman" w:cs="Times New Roman" w:eastAsia="Times New Roman" w:hAnsi="Times New Roman"/>
                  <w:sz w:val="14"/>
                  <w:szCs w:val="14"/>
                  <w:color w:val="0000EE"/>
                </w:rPr>
                <w:t>Side Letter, by and between Mobix Labs, Inc. and Maximcash Solutions LLC, dated as of September 2, 2025 (incorporated by reference to Exhibit 10.53 to the Registrant’s Amendment</w:t>
              </w:r>
            </w:hyperlink>
          </w:p>
        </w:tc>
      </w:tr>
      <w:tr>
        <w:trPr>
          <w:trHeight w:val="152"/>
        </w:trPr>
        <w:tc>
          <w:tcPr>
            <w:tcW w:w="640" w:type="dxa"/>
            <w:vAlign w:val="bottom"/>
          </w:tcPr>
          <w:p>
            <w:pPr>
              <w:spacing w:after="0"/>
              <w:rPr>
                <w:sz w:val="13"/>
                <w:szCs w:val="13"/>
                <w:color w:val="auto"/>
              </w:rPr>
            </w:pPr>
          </w:p>
        </w:tc>
        <w:tc>
          <w:tcPr>
            <w:tcW w:w="10640" w:type="dxa"/>
            <w:vAlign w:val="bottom"/>
            <w:gridSpan w:val="20"/>
          </w:tcPr>
          <w:p>
            <w:pPr>
              <w:spacing w:after="0" w:line="152" w:lineRule="exact"/>
              <w:rPr>
                <w:rFonts w:ascii="Times New Roman" w:cs="Times New Roman" w:eastAsia="Times New Roman" w:hAnsi="Times New Roman"/>
                <w:sz w:val="14"/>
                <w:szCs w:val="14"/>
                <w:color w:val="0000EE"/>
              </w:rPr>
            </w:pPr>
            <w:hyperlink r:id="rId251">
              <w:r>
                <w:rPr>
                  <w:rFonts w:ascii="Times New Roman" w:cs="Times New Roman" w:eastAsia="Times New Roman" w:hAnsi="Times New Roman"/>
                  <w:sz w:val="14"/>
                  <w:szCs w:val="14"/>
                  <w:color w:val="0000EE"/>
                </w:rPr>
                <w:t>No. 1 to the Registrant’s Registration Statement on Form S-1 (File No. 333-287493), filed with the SEC on October 14, 2025).</w:t>
              </w:r>
            </w:hyperlink>
          </w:p>
        </w:tc>
      </w:tr>
      <w:tr>
        <w:trPr>
          <w:trHeight w:val="20"/>
        </w:trPr>
        <w:tc>
          <w:tcPr>
            <w:tcW w:w="64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10.41</w:t>
            </w:r>
          </w:p>
        </w:tc>
        <w:tc>
          <w:tcPr>
            <w:tcW w:w="10640" w:type="dxa"/>
            <w:vAlign w:val="bottom"/>
            <w:gridSpan w:val="20"/>
          </w:tcPr>
          <w:p>
            <w:pPr>
              <w:spacing w:after="0" w:line="152" w:lineRule="exact"/>
              <w:rPr>
                <w:rFonts w:ascii="Times New Roman" w:cs="Times New Roman" w:eastAsia="Times New Roman" w:hAnsi="Times New Roman"/>
                <w:sz w:val="14"/>
                <w:szCs w:val="14"/>
                <w:color w:val="0000EE"/>
              </w:rPr>
            </w:pPr>
            <w:hyperlink r:id="rId252">
              <w:r>
                <w:rPr>
                  <w:rFonts w:ascii="Times New Roman" w:cs="Times New Roman" w:eastAsia="Times New Roman" w:hAnsi="Times New Roman"/>
                  <w:sz w:val="14"/>
                  <w:szCs w:val="14"/>
                  <w:color w:val="0000EE"/>
                </w:rPr>
                <w:t>Form of Placement Agency Agreement (incorporated by reference to Exhibit 10.1 to Mobix Labs, Inc.’s Current Report on Form 8-K filed on January 7, 2026).</w:t>
              </w:r>
            </w:hyperlink>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10.42</w:t>
            </w:r>
          </w:p>
        </w:tc>
        <w:tc>
          <w:tcPr>
            <w:tcW w:w="8620" w:type="dxa"/>
            <w:vAlign w:val="bottom"/>
            <w:tcBorders>
              <w:top w:val="single" w:sz="8" w:color="0000EE"/>
              <w:bottom w:val="single" w:sz="8" w:color="0000EE"/>
            </w:tcBorders>
            <w:gridSpan w:val="16"/>
          </w:tcPr>
          <w:p>
            <w:pPr>
              <w:spacing w:after="0" w:line="152" w:lineRule="exact"/>
              <w:rPr>
                <w:rFonts w:ascii="Times New Roman" w:cs="Times New Roman" w:eastAsia="Times New Roman" w:hAnsi="Times New Roman"/>
                <w:sz w:val="14"/>
                <w:szCs w:val="14"/>
                <w:color w:val="0000EE"/>
              </w:rPr>
            </w:pPr>
            <w:hyperlink r:id="rId253">
              <w:r>
                <w:rPr>
                  <w:rFonts w:ascii="Times New Roman" w:cs="Times New Roman" w:eastAsia="Times New Roman" w:hAnsi="Times New Roman"/>
                  <w:sz w:val="14"/>
                  <w:szCs w:val="14"/>
                  <w:color w:val="0000EE"/>
                </w:rPr>
                <w:t>Form of Purchase Agreement (incorporated by reference to Exhibit 10.2 to Mobix Labs, Inc.’s Current Report on Form 8-K filed on January 7, 2026).</w:t>
              </w:r>
            </w:hyperlink>
          </w:p>
        </w:tc>
        <w:tc>
          <w:tcPr>
            <w:tcW w:w="540" w:type="dxa"/>
            <w:vAlign w:val="bottom"/>
            <w:tcBorders>
              <w:top w:val="single" w:sz="8" w:color="0000EE"/>
            </w:tcBorders>
            <w:gridSpan w:val="2"/>
          </w:tcPr>
          <w:p>
            <w:pPr>
              <w:spacing w:after="0"/>
              <w:rPr>
                <w:sz w:val="13"/>
                <w:szCs w:val="13"/>
                <w:color w:val="auto"/>
              </w:rPr>
            </w:pPr>
          </w:p>
        </w:tc>
        <w:tc>
          <w:tcPr>
            <w:tcW w:w="1480" w:type="dxa"/>
            <w:vAlign w:val="bottom"/>
            <w:gridSpan w:val="2"/>
          </w:tcPr>
          <w:p>
            <w:pPr>
              <w:spacing w:after="0"/>
              <w:rPr>
                <w:sz w:val="13"/>
                <w:szCs w:val="13"/>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10.43</w:t>
            </w:r>
          </w:p>
        </w:tc>
        <w:tc>
          <w:tcPr>
            <w:tcW w:w="10640" w:type="dxa"/>
            <w:vAlign w:val="bottom"/>
            <w:gridSpan w:val="20"/>
          </w:tcPr>
          <w:p>
            <w:pPr>
              <w:spacing w:after="0" w:line="152" w:lineRule="exact"/>
              <w:rPr>
                <w:rFonts w:ascii="Times New Roman" w:cs="Times New Roman" w:eastAsia="Times New Roman" w:hAnsi="Times New Roman"/>
                <w:sz w:val="14"/>
                <w:szCs w:val="14"/>
                <w:color w:val="0000EE"/>
              </w:rPr>
            </w:pPr>
            <w:hyperlink r:id="rId254">
              <w:r>
                <w:rPr>
                  <w:rFonts w:ascii="Times New Roman" w:cs="Times New Roman" w:eastAsia="Times New Roman" w:hAnsi="Times New Roman"/>
                  <w:sz w:val="14"/>
                  <w:szCs w:val="14"/>
                  <w:color w:val="0000EE"/>
                </w:rPr>
                <w:t>Form of Lock-Up Agreement (incorporated by reference to Exhibit 10.3 to Mobix Labs, Inc.’s Current Report on Form 8-K filed on January 7, 2026).</w:t>
              </w:r>
            </w:hyperlink>
          </w:p>
        </w:tc>
      </w:tr>
      <w:tr>
        <w:trPr>
          <w:trHeight w:val="20"/>
        </w:trPr>
        <w:tc>
          <w:tcPr>
            <w:tcW w:w="64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10.44</w:t>
            </w:r>
          </w:p>
        </w:tc>
        <w:tc>
          <w:tcPr>
            <w:tcW w:w="10640" w:type="dxa"/>
            <w:vAlign w:val="bottom"/>
            <w:tcBorders>
              <w:bottom w:val="single" w:sz="8" w:color="0000EE"/>
            </w:tcBorders>
            <w:gridSpan w:val="20"/>
          </w:tcPr>
          <w:p>
            <w:pPr>
              <w:spacing w:after="0" w:line="152" w:lineRule="exact"/>
              <w:rPr>
                <w:rFonts w:ascii="Times New Roman" w:cs="Times New Roman" w:eastAsia="Times New Roman" w:hAnsi="Times New Roman"/>
                <w:sz w:val="14"/>
                <w:szCs w:val="14"/>
                <w:color w:val="0000EE"/>
              </w:rPr>
            </w:pPr>
            <w:hyperlink r:id="rId255">
              <w:r>
                <w:rPr>
                  <w:rFonts w:ascii="Times New Roman" w:cs="Times New Roman" w:eastAsia="Times New Roman" w:hAnsi="Times New Roman"/>
                  <w:sz w:val="14"/>
                  <w:szCs w:val="14"/>
                  <w:color w:val="0000EE"/>
                </w:rPr>
                <w:t>Securities Purchase Agreement, by and between Mobix Labs, Inc and Leviston Resources, LLC, dated as of March 31, 2026 (incorporated by reference to Exhibit 10.57 to the</w:t>
              </w:r>
            </w:hyperlink>
          </w:p>
        </w:tc>
      </w:tr>
      <w:tr>
        <w:trPr>
          <w:trHeight w:val="152"/>
        </w:trPr>
        <w:tc>
          <w:tcPr>
            <w:tcW w:w="640" w:type="dxa"/>
            <w:vAlign w:val="bottom"/>
          </w:tcPr>
          <w:p>
            <w:pPr>
              <w:spacing w:after="0"/>
              <w:rPr>
                <w:sz w:val="13"/>
                <w:szCs w:val="13"/>
                <w:color w:val="auto"/>
              </w:rPr>
            </w:pPr>
          </w:p>
        </w:tc>
        <w:tc>
          <w:tcPr>
            <w:tcW w:w="6400" w:type="dxa"/>
            <w:vAlign w:val="bottom"/>
            <w:tcBorders>
              <w:bottom w:val="single" w:sz="8" w:color="0000EE"/>
            </w:tcBorders>
            <w:gridSpan w:val="10"/>
          </w:tcPr>
          <w:p>
            <w:pPr>
              <w:spacing w:after="0" w:line="152" w:lineRule="exact"/>
              <w:rPr>
                <w:rFonts w:ascii="Times New Roman" w:cs="Times New Roman" w:eastAsia="Times New Roman" w:hAnsi="Times New Roman"/>
                <w:sz w:val="14"/>
                <w:szCs w:val="14"/>
                <w:color w:val="0000EE"/>
              </w:rPr>
            </w:pPr>
            <w:hyperlink r:id="rId255">
              <w:r>
                <w:rPr>
                  <w:rFonts w:ascii="Times New Roman" w:cs="Times New Roman" w:eastAsia="Times New Roman" w:hAnsi="Times New Roman"/>
                  <w:sz w:val="14"/>
                  <w:szCs w:val="14"/>
                  <w:color w:val="0000EE"/>
                </w:rPr>
                <w:t>Registrant’s Registration Statement on Form S-1 (File No. 333-295357), filed with the SEC on April 27, 2026).</w:t>
              </w:r>
            </w:hyperlink>
          </w:p>
        </w:tc>
        <w:tc>
          <w:tcPr>
            <w:tcW w:w="4240" w:type="dxa"/>
            <w:vAlign w:val="bottom"/>
            <w:gridSpan w:val="10"/>
          </w:tcPr>
          <w:p>
            <w:pPr>
              <w:spacing w:after="0"/>
              <w:rPr>
                <w:sz w:val="13"/>
                <w:szCs w:val="13"/>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10.45</w:t>
            </w:r>
          </w:p>
        </w:tc>
        <w:tc>
          <w:tcPr>
            <w:tcW w:w="10640" w:type="dxa"/>
            <w:vAlign w:val="bottom"/>
            <w:tcBorders>
              <w:bottom w:val="single" w:sz="8" w:color="0000EE"/>
            </w:tcBorders>
            <w:gridSpan w:val="20"/>
          </w:tcPr>
          <w:p>
            <w:pPr>
              <w:spacing w:after="0" w:line="152" w:lineRule="exact"/>
              <w:rPr>
                <w:rFonts w:ascii="Times New Roman" w:cs="Times New Roman" w:eastAsia="Times New Roman" w:hAnsi="Times New Roman"/>
                <w:sz w:val="14"/>
                <w:szCs w:val="14"/>
                <w:color w:val="0000EE"/>
              </w:rPr>
            </w:pPr>
            <w:hyperlink r:id="rId256">
              <w:r>
                <w:rPr>
                  <w:rFonts w:ascii="Times New Roman" w:cs="Times New Roman" w:eastAsia="Times New Roman" w:hAnsi="Times New Roman"/>
                  <w:sz w:val="14"/>
                  <w:szCs w:val="14"/>
                  <w:color w:val="0000EE"/>
                </w:rPr>
                <w:t>Registration Rights Agreement by and between Mobix Labs, Inc and Leviston Resources, LLC, dated as of March 31, 2026 (incorporated by reference to Exhibit 10.58 to the</w:t>
              </w:r>
            </w:hyperlink>
          </w:p>
        </w:tc>
      </w:tr>
      <w:tr>
        <w:trPr>
          <w:trHeight w:val="152"/>
        </w:trPr>
        <w:tc>
          <w:tcPr>
            <w:tcW w:w="640" w:type="dxa"/>
            <w:vAlign w:val="bottom"/>
          </w:tcPr>
          <w:p>
            <w:pPr>
              <w:spacing w:after="0"/>
              <w:rPr>
                <w:sz w:val="13"/>
                <w:szCs w:val="13"/>
                <w:color w:val="auto"/>
              </w:rPr>
            </w:pPr>
          </w:p>
        </w:tc>
        <w:tc>
          <w:tcPr>
            <w:tcW w:w="6400" w:type="dxa"/>
            <w:vAlign w:val="bottom"/>
            <w:tcBorders>
              <w:bottom w:val="single" w:sz="8" w:color="0000EE"/>
            </w:tcBorders>
            <w:gridSpan w:val="10"/>
          </w:tcPr>
          <w:p>
            <w:pPr>
              <w:spacing w:after="0" w:line="152" w:lineRule="exact"/>
              <w:rPr>
                <w:rFonts w:ascii="Times New Roman" w:cs="Times New Roman" w:eastAsia="Times New Roman" w:hAnsi="Times New Roman"/>
                <w:sz w:val="14"/>
                <w:szCs w:val="14"/>
                <w:color w:val="0000EE"/>
              </w:rPr>
            </w:pPr>
            <w:hyperlink r:id="rId256">
              <w:r>
                <w:rPr>
                  <w:rFonts w:ascii="Times New Roman" w:cs="Times New Roman" w:eastAsia="Times New Roman" w:hAnsi="Times New Roman"/>
                  <w:sz w:val="14"/>
                  <w:szCs w:val="14"/>
                  <w:color w:val="0000EE"/>
                </w:rPr>
                <w:t>Registrant’s Registration Statement on Form S-1 (File No. 333-295357), filed with the SEC on April 27, 2026).</w:t>
              </w:r>
            </w:hyperlink>
          </w:p>
        </w:tc>
        <w:tc>
          <w:tcPr>
            <w:tcW w:w="4240" w:type="dxa"/>
            <w:vAlign w:val="bottom"/>
            <w:gridSpan w:val="10"/>
          </w:tcPr>
          <w:p>
            <w:pPr>
              <w:spacing w:after="0"/>
              <w:rPr>
                <w:sz w:val="13"/>
                <w:szCs w:val="13"/>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10.46</w:t>
            </w:r>
          </w:p>
        </w:tc>
        <w:tc>
          <w:tcPr>
            <w:tcW w:w="10640" w:type="dxa"/>
            <w:vAlign w:val="bottom"/>
            <w:tcBorders>
              <w:bottom w:val="single" w:sz="8" w:color="0000EE"/>
            </w:tcBorders>
            <w:gridSpan w:val="20"/>
          </w:tcPr>
          <w:p>
            <w:pPr>
              <w:spacing w:after="0" w:line="152" w:lineRule="exact"/>
              <w:rPr>
                <w:rFonts w:ascii="Times New Roman" w:cs="Times New Roman" w:eastAsia="Times New Roman" w:hAnsi="Times New Roman"/>
                <w:sz w:val="14"/>
                <w:szCs w:val="14"/>
                <w:color w:val="0000EE"/>
              </w:rPr>
            </w:pPr>
            <w:hyperlink r:id="rId257">
              <w:r>
                <w:rPr>
                  <w:rFonts w:ascii="Times New Roman" w:cs="Times New Roman" w:eastAsia="Times New Roman" w:hAnsi="Times New Roman"/>
                  <w:sz w:val="14"/>
                  <w:szCs w:val="14"/>
                  <w:color w:val="0000EE"/>
                </w:rPr>
                <w:t>Investor Rights Agreement by and between Mobix Labs, Inc. and Leviston Resources, LLC, dated as of May 13, 2026 (incorporated by reference to Exhibit 10.3 of Mobix Labs, Inc.’s</w:t>
              </w:r>
            </w:hyperlink>
          </w:p>
        </w:tc>
      </w:tr>
      <w:tr>
        <w:trPr>
          <w:trHeight w:val="152"/>
        </w:trPr>
        <w:tc>
          <w:tcPr>
            <w:tcW w:w="640" w:type="dxa"/>
            <w:vAlign w:val="bottom"/>
          </w:tcPr>
          <w:p>
            <w:pPr>
              <w:spacing w:after="0"/>
              <w:rPr>
                <w:sz w:val="13"/>
                <w:szCs w:val="13"/>
                <w:color w:val="auto"/>
              </w:rPr>
            </w:pPr>
          </w:p>
        </w:tc>
        <w:tc>
          <w:tcPr>
            <w:tcW w:w="3240" w:type="dxa"/>
            <w:vAlign w:val="bottom"/>
            <w:tcBorders>
              <w:bottom w:val="single" w:sz="8" w:color="0000EE"/>
            </w:tcBorders>
          </w:tcPr>
          <w:p>
            <w:pPr>
              <w:spacing w:after="0" w:line="152" w:lineRule="exact"/>
              <w:rPr>
                <w:rFonts w:ascii="Times New Roman" w:cs="Times New Roman" w:eastAsia="Times New Roman" w:hAnsi="Times New Roman"/>
                <w:sz w:val="14"/>
                <w:szCs w:val="14"/>
                <w:color w:val="0000EE"/>
              </w:rPr>
            </w:pPr>
            <w:hyperlink r:id="rId257">
              <w:r>
                <w:rPr>
                  <w:rFonts w:ascii="Times New Roman" w:cs="Times New Roman" w:eastAsia="Times New Roman" w:hAnsi="Times New Roman"/>
                  <w:sz w:val="14"/>
                  <w:szCs w:val="14"/>
                  <w:color w:val="0000EE"/>
                </w:rPr>
                <w:t>Quarterly Report on Form 10-Q filed on May 20, 2026).</w:t>
              </w:r>
            </w:hyperlink>
          </w:p>
        </w:tc>
        <w:tc>
          <w:tcPr>
            <w:tcW w:w="7400" w:type="dxa"/>
            <w:vAlign w:val="bottom"/>
            <w:gridSpan w:val="19"/>
          </w:tcPr>
          <w:p>
            <w:pPr>
              <w:spacing w:after="0"/>
              <w:rPr>
                <w:sz w:val="13"/>
                <w:szCs w:val="13"/>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10.47</w:t>
            </w:r>
          </w:p>
        </w:tc>
        <w:tc>
          <w:tcPr>
            <w:tcW w:w="10640" w:type="dxa"/>
            <w:vAlign w:val="bottom"/>
            <w:tcBorders>
              <w:bottom w:val="single" w:sz="8" w:color="0000EE"/>
            </w:tcBorders>
            <w:gridSpan w:val="20"/>
          </w:tcPr>
          <w:p>
            <w:pPr>
              <w:spacing w:after="0" w:line="152" w:lineRule="exact"/>
              <w:rPr>
                <w:rFonts w:ascii="Times New Roman" w:cs="Times New Roman" w:eastAsia="Times New Roman" w:hAnsi="Times New Roman"/>
                <w:sz w:val="14"/>
                <w:szCs w:val="14"/>
                <w:color w:val="0000EE"/>
              </w:rPr>
            </w:pPr>
            <w:hyperlink r:id="rId258">
              <w:r>
                <w:rPr>
                  <w:rFonts w:ascii="Times New Roman" w:cs="Times New Roman" w:eastAsia="Times New Roman" w:hAnsi="Times New Roman"/>
                  <w:sz w:val="14"/>
                  <w:szCs w:val="14"/>
                  <w:color w:val="0000EE"/>
                </w:rPr>
                <w:t>Securities Purchase Agreement, dated May 19, 2026, by and between Mobix Labs, Inc. and Kips Bay Select, LP (incorporated by reference to Exhibit 10.4 of Mobix Labs, Inc.’s</w:t>
              </w:r>
            </w:hyperlink>
          </w:p>
        </w:tc>
      </w:tr>
      <w:tr>
        <w:trPr>
          <w:trHeight w:val="152"/>
        </w:trPr>
        <w:tc>
          <w:tcPr>
            <w:tcW w:w="640" w:type="dxa"/>
            <w:vAlign w:val="bottom"/>
          </w:tcPr>
          <w:p>
            <w:pPr>
              <w:spacing w:after="0"/>
              <w:rPr>
                <w:sz w:val="13"/>
                <w:szCs w:val="13"/>
                <w:color w:val="auto"/>
              </w:rPr>
            </w:pPr>
          </w:p>
        </w:tc>
        <w:tc>
          <w:tcPr>
            <w:tcW w:w="3240" w:type="dxa"/>
            <w:vAlign w:val="bottom"/>
            <w:tcBorders>
              <w:bottom w:val="single" w:sz="8" w:color="0000EE"/>
            </w:tcBorders>
          </w:tcPr>
          <w:p>
            <w:pPr>
              <w:spacing w:after="0" w:line="152" w:lineRule="exact"/>
              <w:rPr>
                <w:rFonts w:ascii="Times New Roman" w:cs="Times New Roman" w:eastAsia="Times New Roman" w:hAnsi="Times New Roman"/>
                <w:sz w:val="14"/>
                <w:szCs w:val="14"/>
                <w:color w:val="0000EE"/>
              </w:rPr>
            </w:pPr>
            <w:hyperlink r:id="rId258">
              <w:r>
                <w:rPr>
                  <w:rFonts w:ascii="Times New Roman" w:cs="Times New Roman" w:eastAsia="Times New Roman" w:hAnsi="Times New Roman"/>
                  <w:sz w:val="14"/>
                  <w:szCs w:val="14"/>
                  <w:color w:val="0000EE"/>
                </w:rPr>
                <w:t>Quarterly Report on Form 10-Q filed on May 20, 2026).</w:t>
              </w:r>
            </w:hyperlink>
          </w:p>
        </w:tc>
        <w:tc>
          <w:tcPr>
            <w:tcW w:w="7400" w:type="dxa"/>
            <w:vAlign w:val="bottom"/>
            <w:gridSpan w:val="19"/>
          </w:tcPr>
          <w:p>
            <w:pPr>
              <w:spacing w:after="0"/>
              <w:rPr>
                <w:sz w:val="13"/>
                <w:szCs w:val="13"/>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10.48</w:t>
            </w:r>
          </w:p>
        </w:tc>
        <w:tc>
          <w:tcPr>
            <w:tcW w:w="10640" w:type="dxa"/>
            <w:vAlign w:val="bottom"/>
            <w:tcBorders>
              <w:bottom w:val="single" w:sz="8" w:color="0000EE"/>
            </w:tcBorders>
            <w:gridSpan w:val="20"/>
          </w:tcPr>
          <w:p>
            <w:pPr>
              <w:spacing w:after="0" w:line="152" w:lineRule="exact"/>
              <w:rPr>
                <w:rFonts w:ascii="Times New Roman" w:cs="Times New Roman" w:eastAsia="Times New Roman" w:hAnsi="Times New Roman"/>
                <w:sz w:val="14"/>
                <w:szCs w:val="14"/>
                <w:color w:val="0000EE"/>
              </w:rPr>
            </w:pPr>
            <w:hyperlink r:id="rId259">
              <w:r>
                <w:rPr>
                  <w:rFonts w:ascii="Times New Roman" w:cs="Times New Roman" w:eastAsia="Times New Roman" w:hAnsi="Times New Roman"/>
                  <w:sz w:val="14"/>
                  <w:szCs w:val="14"/>
                  <w:color w:val="0000EE"/>
                </w:rPr>
                <w:t>Registration Rights Agreement, dated May 19, 2026 by and between Mobix Labs, Inc. and Kips Bay Select, LP (incorporated by reference to Exhibit 10.5 of Mobix Labs, Inc.’s</w:t>
              </w:r>
            </w:hyperlink>
          </w:p>
        </w:tc>
      </w:tr>
      <w:tr>
        <w:trPr>
          <w:trHeight w:val="152"/>
        </w:trPr>
        <w:tc>
          <w:tcPr>
            <w:tcW w:w="640" w:type="dxa"/>
            <w:vAlign w:val="bottom"/>
          </w:tcPr>
          <w:p>
            <w:pPr>
              <w:spacing w:after="0"/>
              <w:rPr>
                <w:sz w:val="13"/>
                <w:szCs w:val="13"/>
                <w:color w:val="auto"/>
              </w:rPr>
            </w:pPr>
          </w:p>
        </w:tc>
        <w:tc>
          <w:tcPr>
            <w:tcW w:w="3240" w:type="dxa"/>
            <w:vAlign w:val="bottom"/>
            <w:tcBorders>
              <w:bottom w:val="single" w:sz="8" w:color="0000EE"/>
            </w:tcBorders>
          </w:tcPr>
          <w:p>
            <w:pPr>
              <w:spacing w:after="0" w:line="152" w:lineRule="exact"/>
              <w:rPr>
                <w:rFonts w:ascii="Times New Roman" w:cs="Times New Roman" w:eastAsia="Times New Roman" w:hAnsi="Times New Roman"/>
                <w:sz w:val="14"/>
                <w:szCs w:val="14"/>
                <w:color w:val="0000EE"/>
              </w:rPr>
            </w:pPr>
            <w:hyperlink r:id="rId259">
              <w:r>
                <w:rPr>
                  <w:rFonts w:ascii="Times New Roman" w:cs="Times New Roman" w:eastAsia="Times New Roman" w:hAnsi="Times New Roman"/>
                  <w:sz w:val="14"/>
                  <w:szCs w:val="14"/>
                  <w:color w:val="0000EE"/>
                </w:rPr>
                <w:t>Quarterly Report on Form 10-Q filed on May 20, 2026).</w:t>
              </w:r>
            </w:hyperlink>
          </w:p>
        </w:tc>
        <w:tc>
          <w:tcPr>
            <w:tcW w:w="7400" w:type="dxa"/>
            <w:vAlign w:val="bottom"/>
            <w:gridSpan w:val="19"/>
          </w:tcPr>
          <w:p>
            <w:pPr>
              <w:spacing w:after="0"/>
              <w:rPr>
                <w:sz w:val="13"/>
                <w:szCs w:val="13"/>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10.49</w:t>
            </w:r>
          </w:p>
        </w:tc>
        <w:tc>
          <w:tcPr>
            <w:tcW w:w="10640" w:type="dxa"/>
            <w:vAlign w:val="bottom"/>
            <w:tcBorders>
              <w:bottom w:val="single" w:sz="8" w:color="0000EE"/>
            </w:tcBorders>
            <w:gridSpan w:val="20"/>
          </w:tcPr>
          <w:p>
            <w:pPr>
              <w:spacing w:after="0" w:line="152" w:lineRule="exact"/>
              <w:rPr>
                <w:rFonts w:ascii="Times New Roman" w:cs="Times New Roman" w:eastAsia="Times New Roman" w:hAnsi="Times New Roman"/>
                <w:sz w:val="14"/>
                <w:szCs w:val="14"/>
                <w:color w:val="0000EE"/>
              </w:rPr>
            </w:pPr>
            <w:hyperlink r:id="rId260">
              <w:r>
                <w:rPr>
                  <w:rFonts w:ascii="Times New Roman" w:cs="Times New Roman" w:eastAsia="Times New Roman" w:hAnsi="Times New Roman"/>
                  <w:sz w:val="14"/>
                  <w:szCs w:val="14"/>
                  <w:color w:val="0000EE"/>
                </w:rPr>
                <w:t>Amendment No. 1 to Registration Rights Agreement, dated June 18, 2026 by and between Mobix Labs, Inc. and Kips Bay Select, LP (incorporated by reference to Exhibit 10.62 to the</w:t>
              </w:r>
            </w:hyperlink>
          </w:p>
        </w:tc>
      </w:tr>
      <w:tr>
        <w:trPr>
          <w:trHeight w:val="152"/>
        </w:trPr>
        <w:tc>
          <w:tcPr>
            <w:tcW w:w="640" w:type="dxa"/>
            <w:vAlign w:val="bottom"/>
          </w:tcPr>
          <w:p>
            <w:pPr>
              <w:spacing w:after="0"/>
              <w:rPr>
                <w:sz w:val="13"/>
                <w:szCs w:val="13"/>
                <w:color w:val="auto"/>
              </w:rPr>
            </w:pPr>
          </w:p>
        </w:tc>
        <w:tc>
          <w:tcPr>
            <w:tcW w:w="5300" w:type="dxa"/>
            <w:vAlign w:val="bottom"/>
            <w:tcBorders>
              <w:bottom w:val="single" w:sz="8" w:color="0000EE"/>
            </w:tcBorders>
            <w:gridSpan w:val="7"/>
          </w:tcPr>
          <w:p>
            <w:pPr>
              <w:spacing w:after="0" w:line="152" w:lineRule="exact"/>
              <w:rPr>
                <w:rFonts w:ascii="Times New Roman" w:cs="Times New Roman" w:eastAsia="Times New Roman" w:hAnsi="Times New Roman"/>
                <w:sz w:val="14"/>
                <w:szCs w:val="14"/>
                <w:color w:val="0000EE"/>
              </w:rPr>
            </w:pPr>
            <w:hyperlink r:id="rId260">
              <w:r>
                <w:rPr>
                  <w:rFonts w:ascii="Times New Roman" w:cs="Times New Roman" w:eastAsia="Times New Roman" w:hAnsi="Times New Roman"/>
                  <w:sz w:val="14"/>
                  <w:szCs w:val="14"/>
                  <w:color w:val="0000EE"/>
                </w:rPr>
                <w:t>Registrant’s Registration Statement on Form S-1 (No. 333-296928), filed on June 22, 2026).</w:t>
              </w:r>
            </w:hyperlink>
          </w:p>
        </w:tc>
        <w:tc>
          <w:tcPr>
            <w:tcW w:w="5340" w:type="dxa"/>
            <w:vAlign w:val="bottom"/>
            <w:gridSpan w:val="13"/>
          </w:tcPr>
          <w:p>
            <w:pPr>
              <w:spacing w:after="0"/>
              <w:rPr>
                <w:sz w:val="13"/>
                <w:szCs w:val="13"/>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10.50</w:t>
            </w:r>
          </w:p>
        </w:tc>
        <w:tc>
          <w:tcPr>
            <w:tcW w:w="10640" w:type="dxa"/>
            <w:vAlign w:val="bottom"/>
            <w:tcBorders>
              <w:bottom w:val="single" w:sz="8" w:color="0000EE"/>
            </w:tcBorders>
            <w:gridSpan w:val="20"/>
          </w:tcPr>
          <w:p>
            <w:pPr>
              <w:spacing w:after="0" w:line="152" w:lineRule="exact"/>
              <w:rPr>
                <w:rFonts w:ascii="Times New Roman" w:cs="Times New Roman" w:eastAsia="Times New Roman" w:hAnsi="Times New Roman"/>
                <w:sz w:val="14"/>
                <w:szCs w:val="14"/>
                <w:color w:val="0000EE"/>
              </w:rPr>
            </w:pPr>
            <w:hyperlink r:id="rId261">
              <w:r>
                <w:rPr>
                  <w:rFonts w:ascii="Times New Roman" w:cs="Times New Roman" w:eastAsia="Times New Roman" w:hAnsi="Times New Roman"/>
                  <w:sz w:val="14"/>
                  <w:szCs w:val="14"/>
                  <w:color w:val="0000EE"/>
                </w:rPr>
                <w:t>Second Amendment to Registration Rights Agreement, by and between Mobix Labs, Inc. and Leviston Resources, LLC, dated as of June 22, 2026 (incorporated by reference to Exhibit</w:t>
              </w:r>
            </w:hyperlink>
          </w:p>
        </w:tc>
      </w:tr>
      <w:tr>
        <w:trPr>
          <w:trHeight w:val="152"/>
        </w:trPr>
        <w:tc>
          <w:tcPr>
            <w:tcW w:w="640" w:type="dxa"/>
            <w:vAlign w:val="bottom"/>
          </w:tcPr>
          <w:p>
            <w:pPr>
              <w:spacing w:after="0"/>
              <w:rPr>
                <w:sz w:val="13"/>
                <w:szCs w:val="13"/>
                <w:color w:val="auto"/>
              </w:rPr>
            </w:pPr>
          </w:p>
        </w:tc>
        <w:tc>
          <w:tcPr>
            <w:tcW w:w="10640" w:type="dxa"/>
            <w:vAlign w:val="bottom"/>
            <w:gridSpan w:val="20"/>
          </w:tcPr>
          <w:p>
            <w:pPr>
              <w:spacing w:after="0" w:line="152" w:lineRule="exact"/>
              <w:rPr>
                <w:rFonts w:ascii="Times New Roman" w:cs="Times New Roman" w:eastAsia="Times New Roman" w:hAnsi="Times New Roman"/>
                <w:sz w:val="14"/>
                <w:szCs w:val="14"/>
                <w:color w:val="0000EE"/>
              </w:rPr>
            </w:pPr>
            <w:hyperlink r:id="rId261">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EE"/>
                </w:rPr>
                <w:t xml:space="preserve"> of Mobix Labs, Inc.’s Current Report on Form 8-K filed on June 26, 2026).</w:t>
              </w:r>
            </w:hyperlink>
          </w:p>
        </w:tc>
      </w:tr>
      <w:tr>
        <w:trPr>
          <w:trHeight w:val="20"/>
        </w:trPr>
        <w:tc>
          <w:tcPr>
            <w:tcW w:w="640" w:type="dxa"/>
            <w:vAlign w:val="bottom"/>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10.51^+</w:t>
            </w:r>
          </w:p>
        </w:tc>
        <w:tc>
          <w:tcPr>
            <w:tcW w:w="10640" w:type="dxa"/>
            <w:vAlign w:val="bottom"/>
            <w:tcBorders>
              <w:bottom w:val="single" w:sz="8" w:color="0000EE"/>
            </w:tcBorders>
            <w:gridSpan w:val="20"/>
          </w:tcPr>
          <w:p>
            <w:pPr>
              <w:spacing w:after="0" w:line="152" w:lineRule="exact"/>
              <w:rPr>
                <w:rFonts w:ascii="Times New Roman" w:cs="Times New Roman" w:eastAsia="Times New Roman" w:hAnsi="Times New Roman"/>
                <w:sz w:val="14"/>
                <w:szCs w:val="14"/>
                <w:color w:val="0000EE"/>
              </w:rPr>
            </w:pPr>
            <w:hyperlink r:id="rId262">
              <w:r>
                <w:rPr>
                  <w:rFonts w:ascii="Times New Roman" w:cs="Times New Roman" w:eastAsia="Times New Roman" w:hAnsi="Times New Roman"/>
                  <w:sz w:val="14"/>
                  <w:szCs w:val="14"/>
                  <w:color w:val="0000EE"/>
                </w:rPr>
                <w:t>Agreement and Plan of Merger dated August 13, 2026 by and between Mobix Labs, Inc., Mobix Merger Sub XIV, Inc., Mobix Merger Sub XV, LLC, Special Project Delivery, Inc. and</w:t>
              </w:r>
            </w:hyperlink>
          </w:p>
        </w:tc>
      </w:tr>
      <w:tr>
        <w:trPr>
          <w:trHeight w:val="152"/>
        </w:trPr>
        <w:tc>
          <w:tcPr>
            <w:tcW w:w="640" w:type="dxa"/>
            <w:vAlign w:val="bottom"/>
          </w:tcPr>
          <w:p>
            <w:pPr>
              <w:spacing w:after="0"/>
              <w:rPr>
                <w:sz w:val="13"/>
                <w:szCs w:val="13"/>
                <w:color w:val="auto"/>
              </w:rPr>
            </w:pPr>
          </w:p>
        </w:tc>
        <w:tc>
          <w:tcPr>
            <w:tcW w:w="10640" w:type="dxa"/>
            <w:vAlign w:val="bottom"/>
            <w:gridSpan w:val="20"/>
          </w:tcPr>
          <w:p>
            <w:pPr>
              <w:spacing w:after="0" w:line="152" w:lineRule="exact"/>
              <w:rPr>
                <w:rFonts w:ascii="Times New Roman" w:cs="Times New Roman" w:eastAsia="Times New Roman" w:hAnsi="Times New Roman"/>
                <w:sz w:val="14"/>
                <w:szCs w:val="14"/>
                <w:color w:val="0000EE"/>
              </w:rPr>
            </w:pPr>
            <w:hyperlink r:id="rId262">
              <w:r>
                <w:rPr>
                  <w:rFonts w:ascii="Times New Roman" w:cs="Times New Roman" w:eastAsia="Times New Roman" w:hAnsi="Times New Roman"/>
                  <w:sz w:val="14"/>
                  <w:szCs w:val="14"/>
                  <w:color w:val="0000EE"/>
                </w:rPr>
                <w:t>the shareholder representative named therein (incorporated by reference to Exhibit 10.7 to the Company’s Quarterly Report on Form 10-Q filed on August 18, 2026).</w:t>
              </w:r>
            </w:hyperlink>
          </w:p>
        </w:tc>
      </w:tr>
      <w:tr>
        <w:trPr>
          <w:trHeight w:val="20"/>
        </w:trPr>
        <w:tc>
          <w:tcPr>
            <w:tcW w:w="640" w:type="dxa"/>
            <w:vAlign w:val="bottom"/>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10.52</w:t>
            </w:r>
          </w:p>
        </w:tc>
        <w:tc>
          <w:tcPr>
            <w:tcW w:w="10640" w:type="dxa"/>
            <w:vAlign w:val="bottom"/>
            <w:tcBorders>
              <w:bottom w:val="single" w:sz="8" w:color="0000EE"/>
            </w:tcBorders>
            <w:gridSpan w:val="20"/>
          </w:tcPr>
          <w:p>
            <w:pPr>
              <w:spacing w:after="0" w:line="152" w:lineRule="exact"/>
              <w:rPr>
                <w:rFonts w:ascii="Times New Roman" w:cs="Times New Roman" w:eastAsia="Times New Roman" w:hAnsi="Times New Roman"/>
                <w:sz w:val="14"/>
                <w:szCs w:val="14"/>
                <w:color w:val="0000EE"/>
              </w:rPr>
            </w:pPr>
            <w:hyperlink r:id="rId263">
              <w:r>
                <w:rPr>
                  <w:rFonts w:ascii="Times New Roman" w:cs="Times New Roman" w:eastAsia="Times New Roman" w:hAnsi="Times New Roman"/>
                  <w:sz w:val="14"/>
                  <w:szCs w:val="14"/>
                  <w:color w:val="0000EE"/>
                </w:rPr>
                <w:t>Amendment No. 2 to Registration Rights Agreement, by and between Mobix Labs, Inc. and Kips Bay Select, LP, dated as of August 28, 2026 (incorporated by reference to Exhibit 10.5</w:t>
              </w:r>
            </w:hyperlink>
          </w:p>
        </w:tc>
      </w:tr>
      <w:tr>
        <w:trPr>
          <w:trHeight w:val="152"/>
        </w:trPr>
        <w:tc>
          <w:tcPr>
            <w:tcW w:w="640" w:type="dxa"/>
            <w:vAlign w:val="bottom"/>
          </w:tcPr>
          <w:p>
            <w:pPr>
              <w:spacing w:after="0"/>
              <w:rPr>
                <w:sz w:val="13"/>
                <w:szCs w:val="13"/>
                <w:color w:val="auto"/>
              </w:rPr>
            </w:pPr>
          </w:p>
        </w:tc>
        <w:tc>
          <w:tcPr>
            <w:tcW w:w="4480" w:type="dxa"/>
            <w:vAlign w:val="bottom"/>
            <w:tcBorders>
              <w:bottom w:val="single" w:sz="8" w:color="0000EE"/>
            </w:tcBorders>
            <w:gridSpan w:val="4"/>
          </w:tcPr>
          <w:p>
            <w:pPr>
              <w:spacing w:after="0" w:line="152" w:lineRule="exact"/>
              <w:rPr>
                <w:rFonts w:ascii="Times New Roman" w:cs="Times New Roman" w:eastAsia="Times New Roman" w:hAnsi="Times New Roman"/>
                <w:sz w:val="14"/>
                <w:szCs w:val="14"/>
                <w:color w:val="0000EE"/>
              </w:rPr>
            </w:pPr>
            <w:hyperlink r:id="rId263">
              <w:r>
                <w:rPr>
                  <w:rFonts w:ascii="Times New Roman" w:cs="Times New Roman" w:eastAsia="Times New Roman" w:hAnsi="Times New Roman"/>
                  <w:sz w:val="14"/>
                  <w:szCs w:val="14"/>
                  <w:color w:val="0000EE"/>
                </w:rPr>
                <w:t>of Mobix Labs, Inc.’s Current Report on Form 8-K filed on August 28, 2026).</w:t>
              </w:r>
            </w:hyperlink>
          </w:p>
        </w:tc>
        <w:tc>
          <w:tcPr>
            <w:tcW w:w="6160" w:type="dxa"/>
            <w:vAlign w:val="bottom"/>
            <w:gridSpan w:val="16"/>
          </w:tcPr>
          <w:p>
            <w:pPr>
              <w:spacing w:after="0"/>
              <w:rPr>
                <w:sz w:val="13"/>
                <w:szCs w:val="13"/>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10.53</w:t>
            </w:r>
          </w:p>
        </w:tc>
        <w:tc>
          <w:tcPr>
            <w:tcW w:w="10640" w:type="dxa"/>
            <w:vAlign w:val="bottom"/>
            <w:tcBorders>
              <w:bottom w:val="single" w:sz="8" w:color="0000EE"/>
            </w:tcBorders>
            <w:gridSpan w:val="20"/>
          </w:tcPr>
          <w:p>
            <w:pPr>
              <w:spacing w:after="0" w:line="152" w:lineRule="exact"/>
              <w:rPr>
                <w:rFonts w:ascii="Times New Roman" w:cs="Times New Roman" w:eastAsia="Times New Roman" w:hAnsi="Times New Roman"/>
                <w:sz w:val="14"/>
                <w:szCs w:val="14"/>
                <w:color w:val="0000EE"/>
              </w:rPr>
            </w:pPr>
            <w:hyperlink r:id="rId264">
              <w:r>
                <w:rPr>
                  <w:rFonts w:ascii="Times New Roman" w:cs="Times New Roman" w:eastAsia="Times New Roman" w:hAnsi="Times New Roman"/>
                  <w:sz w:val="14"/>
                  <w:szCs w:val="14"/>
                  <w:color w:val="0000EE"/>
                </w:rPr>
                <w:t>Amendment No. 2 to Securities Purchase Agreement, by and between Mobix Labs, Inc. and Kips Bay Select, LP, dated as of August 28, 2026 (incorporated by reference to Exhibit 10.4</w:t>
              </w:r>
            </w:hyperlink>
          </w:p>
        </w:tc>
      </w:tr>
      <w:tr>
        <w:trPr>
          <w:trHeight w:val="152"/>
        </w:trPr>
        <w:tc>
          <w:tcPr>
            <w:tcW w:w="640" w:type="dxa"/>
            <w:vAlign w:val="bottom"/>
          </w:tcPr>
          <w:p>
            <w:pPr>
              <w:spacing w:after="0"/>
              <w:rPr>
                <w:sz w:val="13"/>
                <w:szCs w:val="13"/>
                <w:color w:val="auto"/>
              </w:rPr>
            </w:pPr>
          </w:p>
        </w:tc>
        <w:tc>
          <w:tcPr>
            <w:tcW w:w="4480" w:type="dxa"/>
            <w:vAlign w:val="bottom"/>
            <w:tcBorders>
              <w:bottom w:val="single" w:sz="8" w:color="0000EE"/>
            </w:tcBorders>
            <w:gridSpan w:val="4"/>
          </w:tcPr>
          <w:p>
            <w:pPr>
              <w:spacing w:after="0" w:line="152" w:lineRule="exact"/>
              <w:rPr>
                <w:rFonts w:ascii="Times New Roman" w:cs="Times New Roman" w:eastAsia="Times New Roman" w:hAnsi="Times New Roman"/>
                <w:sz w:val="14"/>
                <w:szCs w:val="14"/>
                <w:color w:val="0000EE"/>
              </w:rPr>
            </w:pPr>
            <w:hyperlink r:id="rId264">
              <w:r>
                <w:rPr>
                  <w:rFonts w:ascii="Times New Roman" w:cs="Times New Roman" w:eastAsia="Times New Roman" w:hAnsi="Times New Roman"/>
                  <w:sz w:val="14"/>
                  <w:szCs w:val="14"/>
                  <w:color w:val="0000EE"/>
                </w:rPr>
                <w:t>of Mobix Labs, Inc.’s Current Report on Form 8-K filed on August 28, 2026).</w:t>
              </w:r>
            </w:hyperlink>
          </w:p>
        </w:tc>
        <w:tc>
          <w:tcPr>
            <w:tcW w:w="6160" w:type="dxa"/>
            <w:vAlign w:val="bottom"/>
            <w:gridSpan w:val="16"/>
          </w:tcPr>
          <w:p>
            <w:pPr>
              <w:spacing w:after="0"/>
              <w:rPr>
                <w:sz w:val="13"/>
                <w:szCs w:val="13"/>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10.54</w:t>
            </w:r>
          </w:p>
        </w:tc>
        <w:tc>
          <w:tcPr>
            <w:tcW w:w="10640" w:type="dxa"/>
            <w:vAlign w:val="bottom"/>
            <w:tcBorders>
              <w:bottom w:val="single" w:sz="8" w:color="0000EE"/>
            </w:tcBorders>
            <w:gridSpan w:val="20"/>
          </w:tcPr>
          <w:p>
            <w:pPr>
              <w:spacing w:after="0" w:line="152" w:lineRule="exact"/>
              <w:rPr>
                <w:rFonts w:ascii="Times New Roman" w:cs="Times New Roman" w:eastAsia="Times New Roman" w:hAnsi="Times New Roman"/>
                <w:sz w:val="14"/>
                <w:szCs w:val="14"/>
                <w:color w:val="0000EE"/>
              </w:rPr>
            </w:pPr>
            <w:hyperlink r:id="rId265">
              <w:r>
                <w:rPr>
                  <w:rFonts w:ascii="Times New Roman" w:cs="Times New Roman" w:eastAsia="Times New Roman" w:hAnsi="Times New Roman"/>
                  <w:sz w:val="14"/>
                  <w:szCs w:val="14"/>
                  <w:color w:val="0000EE"/>
                </w:rPr>
                <w:t>Third Amendment to Securities Purchase Agreement, by and between Mobix Labs, Inc. and Leviston Resources, LLC, dated as of August 28, 2026 (incorporated by reference to Exhibit</w:t>
              </w:r>
            </w:hyperlink>
          </w:p>
        </w:tc>
      </w:tr>
      <w:tr>
        <w:trPr>
          <w:trHeight w:val="152"/>
        </w:trPr>
        <w:tc>
          <w:tcPr>
            <w:tcW w:w="640" w:type="dxa"/>
            <w:vAlign w:val="bottom"/>
          </w:tcPr>
          <w:p>
            <w:pPr>
              <w:spacing w:after="0"/>
              <w:rPr>
                <w:sz w:val="13"/>
                <w:szCs w:val="13"/>
                <w:color w:val="auto"/>
              </w:rPr>
            </w:pPr>
          </w:p>
        </w:tc>
        <w:tc>
          <w:tcPr>
            <w:tcW w:w="10640" w:type="dxa"/>
            <w:vAlign w:val="bottom"/>
            <w:gridSpan w:val="20"/>
          </w:tcPr>
          <w:p>
            <w:pPr>
              <w:spacing w:after="0" w:line="152" w:lineRule="exact"/>
              <w:rPr>
                <w:rFonts w:ascii="Times New Roman" w:cs="Times New Roman" w:eastAsia="Times New Roman" w:hAnsi="Times New Roman"/>
                <w:sz w:val="14"/>
                <w:szCs w:val="14"/>
                <w:color w:val="0000EE"/>
              </w:rPr>
            </w:pPr>
            <w:hyperlink r:id="rId265">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2</w:t>
              </w:r>
              <w:r>
                <w:rPr>
                  <w:rFonts w:ascii="Times New Roman" w:cs="Times New Roman" w:eastAsia="Times New Roman" w:hAnsi="Times New Roman"/>
                  <w:sz w:val="14"/>
                  <w:szCs w:val="14"/>
                  <w:color w:val="0000EE"/>
                </w:rPr>
                <w:t xml:space="preserve"> of Mobix Labs, Inc.’s Current Report on Form 8-K filed on August 28, 2026).</w:t>
              </w:r>
            </w:hyperlink>
          </w:p>
        </w:tc>
      </w:tr>
      <w:tr>
        <w:trPr>
          <w:trHeight w:val="20"/>
        </w:trPr>
        <w:tc>
          <w:tcPr>
            <w:tcW w:w="640" w:type="dxa"/>
            <w:vAlign w:val="bottom"/>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3"/>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10.55</w:t>
            </w:r>
          </w:p>
        </w:tc>
        <w:tc>
          <w:tcPr>
            <w:tcW w:w="10640" w:type="dxa"/>
            <w:vAlign w:val="bottom"/>
            <w:tcBorders>
              <w:bottom w:val="single" w:sz="8" w:color="0000EE"/>
            </w:tcBorders>
            <w:gridSpan w:val="20"/>
          </w:tcPr>
          <w:p>
            <w:pPr>
              <w:spacing w:after="0" w:line="152" w:lineRule="exact"/>
              <w:rPr>
                <w:rFonts w:ascii="Times New Roman" w:cs="Times New Roman" w:eastAsia="Times New Roman" w:hAnsi="Times New Roman"/>
                <w:sz w:val="14"/>
                <w:szCs w:val="14"/>
                <w:color w:val="0000EE"/>
              </w:rPr>
            </w:pPr>
            <w:hyperlink r:id="rId266">
              <w:r>
                <w:rPr>
                  <w:rFonts w:ascii="Times New Roman" w:cs="Times New Roman" w:eastAsia="Times New Roman" w:hAnsi="Times New Roman"/>
                  <w:sz w:val="14"/>
                  <w:szCs w:val="14"/>
                  <w:color w:val="0000EE"/>
                </w:rPr>
                <w:t>Third Amendment to Registration Rights Agreement, by and between Mobix Labs, Inc. and Leviston Resources, LLC, dated as of August 28, 2026 (incorporated by reference to Exhibit</w:t>
              </w:r>
            </w:hyperlink>
          </w:p>
        </w:tc>
      </w:tr>
      <w:tr>
        <w:trPr>
          <w:trHeight w:val="152"/>
        </w:trPr>
        <w:tc>
          <w:tcPr>
            <w:tcW w:w="640" w:type="dxa"/>
            <w:vAlign w:val="bottom"/>
          </w:tcPr>
          <w:p>
            <w:pPr>
              <w:spacing w:after="0"/>
              <w:rPr>
                <w:sz w:val="13"/>
                <w:szCs w:val="13"/>
                <w:color w:val="auto"/>
              </w:rPr>
            </w:pPr>
          </w:p>
        </w:tc>
        <w:tc>
          <w:tcPr>
            <w:tcW w:w="10640" w:type="dxa"/>
            <w:vAlign w:val="bottom"/>
            <w:gridSpan w:val="20"/>
          </w:tcPr>
          <w:p>
            <w:pPr>
              <w:spacing w:after="0" w:line="152" w:lineRule="exact"/>
              <w:rPr>
                <w:rFonts w:ascii="Times New Roman" w:cs="Times New Roman" w:eastAsia="Times New Roman" w:hAnsi="Times New Roman"/>
                <w:sz w:val="14"/>
                <w:szCs w:val="14"/>
                <w:color w:val="0000EE"/>
              </w:rPr>
            </w:pPr>
            <w:hyperlink r:id="rId266">
              <w:r>
                <w:rPr>
                  <w:rFonts w:ascii="Times New Roman" w:cs="Times New Roman" w:eastAsia="Times New Roman" w:hAnsi="Times New Roman"/>
                  <w:sz w:val="14"/>
                  <w:szCs w:val="14"/>
                  <w:color w:val="0000EE"/>
                </w:rPr>
                <w:t>10.</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0000EE"/>
                </w:rPr>
                <w:t xml:space="preserve"> of Mobix Labs, Inc.’s Current Report on Form 8-K filed on August 28, 2026).</w:t>
              </w:r>
            </w:hyperlink>
          </w:p>
        </w:tc>
      </w:tr>
      <w:tr>
        <w:trPr>
          <w:trHeight w:val="20"/>
        </w:trPr>
        <w:tc>
          <w:tcPr>
            <w:tcW w:w="640" w:type="dxa"/>
            <w:vAlign w:val="bottom"/>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3"/>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10.56</w:t>
            </w:r>
          </w:p>
        </w:tc>
        <w:tc>
          <w:tcPr>
            <w:tcW w:w="10640" w:type="dxa"/>
            <w:vAlign w:val="bottom"/>
            <w:tcBorders>
              <w:bottom w:val="single" w:sz="8" w:color="0000EE"/>
            </w:tcBorders>
            <w:gridSpan w:val="20"/>
          </w:tcPr>
          <w:p>
            <w:pPr>
              <w:spacing w:after="0" w:line="152" w:lineRule="exact"/>
              <w:rPr>
                <w:rFonts w:ascii="Times New Roman" w:cs="Times New Roman" w:eastAsia="Times New Roman" w:hAnsi="Times New Roman"/>
                <w:sz w:val="14"/>
                <w:szCs w:val="14"/>
                <w:color w:val="0000EE"/>
              </w:rPr>
            </w:pPr>
            <w:hyperlink r:id="rId267">
              <w:r>
                <w:rPr>
                  <w:rFonts w:ascii="Times New Roman" w:cs="Times New Roman" w:eastAsia="Times New Roman" w:hAnsi="Times New Roman"/>
                  <w:sz w:val="14"/>
                  <w:szCs w:val="14"/>
                  <w:color w:val="0000EE"/>
                </w:rPr>
                <w:t>Investor Rights Agreement, by and between Mobix Labs, Inc. and Leviston Resources, LLC, dated as of August 28, 2026 (incorporated by reference to Exhibit 10.3 of Mobix Labs,</w:t>
              </w:r>
            </w:hyperlink>
          </w:p>
        </w:tc>
      </w:tr>
      <w:tr>
        <w:trPr>
          <w:trHeight w:val="152"/>
        </w:trPr>
        <w:tc>
          <w:tcPr>
            <w:tcW w:w="640" w:type="dxa"/>
            <w:vAlign w:val="bottom"/>
          </w:tcPr>
          <w:p>
            <w:pPr>
              <w:spacing w:after="0"/>
              <w:rPr>
                <w:sz w:val="13"/>
                <w:szCs w:val="13"/>
                <w:color w:val="auto"/>
              </w:rPr>
            </w:pPr>
          </w:p>
        </w:tc>
        <w:tc>
          <w:tcPr>
            <w:tcW w:w="10640" w:type="dxa"/>
            <w:vAlign w:val="bottom"/>
            <w:gridSpan w:val="20"/>
          </w:tcPr>
          <w:p>
            <w:pPr>
              <w:spacing w:after="0" w:line="152" w:lineRule="exact"/>
              <w:rPr>
                <w:rFonts w:ascii="Times New Roman" w:cs="Times New Roman" w:eastAsia="Times New Roman" w:hAnsi="Times New Roman"/>
                <w:sz w:val="14"/>
                <w:szCs w:val="14"/>
                <w:color w:val="0000EE"/>
              </w:rPr>
            </w:pPr>
            <w:hyperlink r:id="rId267">
              <w:r>
                <w:rPr>
                  <w:rFonts w:ascii="Times New Roman" w:cs="Times New Roman" w:eastAsia="Times New Roman" w:hAnsi="Times New Roman"/>
                  <w:sz w:val="14"/>
                  <w:szCs w:val="14"/>
                  <w:color w:val="0000EE"/>
                </w:rPr>
                <w:t>Inc.’s Current Report on Form 8-K filed on August 28, 2026).</w:t>
              </w:r>
            </w:hyperlink>
          </w:p>
        </w:tc>
      </w:tr>
      <w:tr>
        <w:trPr>
          <w:trHeight w:val="20"/>
        </w:trPr>
        <w:tc>
          <w:tcPr>
            <w:tcW w:w="640" w:type="dxa"/>
            <w:vAlign w:val="bottom"/>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10.57#*</w:t>
            </w:r>
          </w:p>
        </w:tc>
        <w:tc>
          <w:tcPr>
            <w:tcW w:w="6080" w:type="dxa"/>
            <w:vAlign w:val="bottom"/>
            <w:tcBorders>
              <w:bottom w:val="single" w:sz="8" w:color="0000EE"/>
            </w:tcBorders>
            <w:gridSpan w:val="8"/>
          </w:tcPr>
          <w:p>
            <w:pPr>
              <w:spacing w:after="0" w:line="152" w:lineRule="exact"/>
              <w:rPr>
                <w:sz w:val="20"/>
                <w:szCs w:val="20"/>
                <w:color w:val="auto"/>
              </w:rPr>
            </w:pPr>
            <w:r>
              <w:rPr>
                <w:rFonts w:ascii="Times New Roman" w:cs="Times New Roman" w:eastAsia="Times New Roman" w:hAnsi="Times New Roman"/>
                <w:sz w:val="14"/>
                <w:szCs w:val="14"/>
                <w:color w:val="0000EE"/>
              </w:rPr>
              <w:t>Employment Agreement dated September 11, 2026 by and between Mobix Labs, Inc. and Philip Sansone.</w:t>
            </w:r>
          </w:p>
        </w:tc>
        <w:tc>
          <w:tcPr>
            <w:tcW w:w="4560" w:type="dxa"/>
            <w:vAlign w:val="bottom"/>
            <w:gridSpan w:val="12"/>
          </w:tcPr>
          <w:p>
            <w:pPr>
              <w:spacing w:after="0"/>
              <w:rPr>
                <w:sz w:val="13"/>
                <w:szCs w:val="13"/>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21.1</w:t>
            </w:r>
          </w:p>
        </w:tc>
        <w:tc>
          <w:tcPr>
            <w:tcW w:w="8160" w:type="dxa"/>
            <w:vAlign w:val="bottom"/>
            <w:tcBorders>
              <w:bottom w:val="single" w:sz="8" w:color="0000EE"/>
            </w:tcBorders>
            <w:gridSpan w:val="14"/>
          </w:tcPr>
          <w:p>
            <w:pPr>
              <w:spacing w:after="0" w:line="152" w:lineRule="exact"/>
              <w:rPr>
                <w:rFonts w:ascii="Times New Roman" w:cs="Times New Roman" w:eastAsia="Times New Roman" w:hAnsi="Times New Roman"/>
                <w:sz w:val="14"/>
                <w:szCs w:val="14"/>
                <w:color w:val="0000EE"/>
              </w:rPr>
            </w:pPr>
            <w:hyperlink r:id="rId268">
              <w:r>
                <w:rPr>
                  <w:rFonts w:ascii="Times New Roman" w:cs="Times New Roman" w:eastAsia="Times New Roman" w:hAnsi="Times New Roman"/>
                  <w:sz w:val="14"/>
                  <w:szCs w:val="14"/>
                  <w:color w:val="0000EE"/>
                </w:rPr>
                <w:t>List of Subsidiaries (incorporated by reference to Exhibit 21.1 to Mobix Labs, Inc.’s Annual Report on Form 10-K filed on January 13, 2026).</w:t>
              </w:r>
            </w:hyperlink>
          </w:p>
        </w:tc>
        <w:tc>
          <w:tcPr>
            <w:tcW w:w="2480" w:type="dxa"/>
            <w:vAlign w:val="bottom"/>
            <w:gridSpan w:val="6"/>
          </w:tcPr>
          <w:p>
            <w:pPr>
              <w:spacing w:after="0"/>
              <w:rPr>
                <w:sz w:val="13"/>
                <w:szCs w:val="13"/>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23.1*</w:t>
            </w:r>
          </w:p>
        </w:tc>
        <w:tc>
          <w:tcPr>
            <w:tcW w:w="10640" w:type="dxa"/>
            <w:vAlign w:val="bottom"/>
            <w:gridSpan w:val="20"/>
          </w:tcPr>
          <w:p>
            <w:pPr>
              <w:spacing w:after="0" w:line="152" w:lineRule="exact"/>
              <w:rPr>
                <w:sz w:val="20"/>
                <w:szCs w:val="20"/>
                <w:color w:val="auto"/>
              </w:rPr>
            </w:pPr>
            <w:r>
              <w:rPr>
                <w:rFonts w:ascii="Times New Roman" w:cs="Times New Roman" w:eastAsia="Times New Roman" w:hAnsi="Times New Roman"/>
                <w:sz w:val="14"/>
                <w:szCs w:val="14"/>
                <w:color w:val="0000EE"/>
              </w:rPr>
              <w:t>Consent of PricewaterhouseCoopers LLP, independent registered public accounting firm for Mobix Labs, Inc.</w:t>
            </w: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23.2</w:t>
            </w:r>
          </w:p>
        </w:tc>
        <w:tc>
          <w:tcPr>
            <w:tcW w:w="6300" w:type="dxa"/>
            <w:vAlign w:val="bottom"/>
            <w:tcBorders>
              <w:top w:val="single" w:sz="8" w:color="0000EE"/>
            </w:tcBorders>
            <w:gridSpan w:val="9"/>
          </w:tcPr>
          <w:p>
            <w:pPr>
              <w:spacing w:after="0" w:line="152" w:lineRule="exact"/>
              <w:rPr>
                <w:sz w:val="20"/>
                <w:szCs w:val="20"/>
                <w:color w:val="auto"/>
              </w:rPr>
            </w:pPr>
            <w:r>
              <w:rPr>
                <w:rFonts w:ascii="Times New Roman" w:cs="Times New Roman" w:eastAsia="Times New Roman" w:hAnsi="Times New Roman"/>
                <w:sz w:val="14"/>
                <w:szCs w:val="14"/>
                <w:color w:val="0000EE"/>
              </w:rPr>
              <w:t>Consent of Greenberg Traurig P.A. (included as part of Exhibit 5.1).</w:t>
            </w:r>
          </w:p>
        </w:tc>
        <w:tc>
          <w:tcPr>
            <w:tcW w:w="4340" w:type="dxa"/>
            <w:vAlign w:val="bottom"/>
            <w:gridSpan w:val="11"/>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3900" w:type="dxa"/>
            <w:vAlign w:val="bottom"/>
            <w:gridSpan w:val="3"/>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880" w:type="dxa"/>
            <w:vAlign w:val="bottom"/>
            <w:gridSpan w:val="14"/>
          </w:tcPr>
          <w:p>
            <w:pPr>
              <w:spacing w:after="0" w:line="20" w:lineRule="exact"/>
              <w:rPr>
                <w:sz w:val="1"/>
                <w:szCs w:val="1"/>
                <w:color w:val="auto"/>
              </w:rPr>
            </w:pPr>
          </w:p>
        </w:tc>
      </w:tr>
      <w:tr>
        <w:trPr>
          <w:trHeight w:val="152"/>
        </w:trPr>
        <w:tc>
          <w:tcPr>
            <w:tcW w:w="64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24.1</w:t>
            </w:r>
          </w:p>
        </w:tc>
        <w:tc>
          <w:tcPr>
            <w:tcW w:w="4760" w:type="dxa"/>
            <w:vAlign w:val="bottom"/>
            <w:tcBorders>
              <w:bottom w:val="single" w:sz="8" w:color="0000EE"/>
            </w:tcBorders>
            <w:gridSpan w:val="6"/>
          </w:tcPr>
          <w:p>
            <w:pPr>
              <w:spacing w:after="0" w:line="152" w:lineRule="exact"/>
              <w:rPr>
                <w:sz w:val="20"/>
                <w:szCs w:val="20"/>
                <w:color w:val="auto"/>
              </w:rPr>
            </w:pPr>
            <w:r>
              <w:rPr>
                <w:rFonts w:ascii="Times New Roman" w:cs="Times New Roman" w:eastAsia="Times New Roman" w:hAnsi="Times New Roman"/>
                <w:sz w:val="14"/>
                <w:szCs w:val="14"/>
                <w:color w:val="0000EE"/>
              </w:rPr>
              <w:t>Power of Attorney (contained on the signature page of the registration statement).</w:t>
            </w:r>
          </w:p>
        </w:tc>
        <w:tc>
          <w:tcPr>
            <w:tcW w:w="5880" w:type="dxa"/>
            <w:vAlign w:val="bottom"/>
            <w:gridSpan w:val="14"/>
          </w:tcPr>
          <w:p>
            <w:pPr>
              <w:spacing w:after="0"/>
              <w:rPr>
                <w:sz w:val="13"/>
                <w:szCs w:val="13"/>
                <w:color w:val="auto"/>
              </w:rPr>
            </w:pPr>
          </w:p>
        </w:tc>
      </w:tr>
      <w:tr>
        <w:trPr>
          <w:trHeight w:val="170"/>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106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 because its XBRL tags are embedded within the Inline XBRL document.</w:t>
            </w:r>
          </w:p>
        </w:tc>
      </w:tr>
      <w:tr>
        <w:trPr>
          <w:trHeight w:val="172"/>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106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172"/>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106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172"/>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106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172"/>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106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186"/>
        </w:trPr>
        <w:tc>
          <w:tcPr>
            <w:tcW w:w="64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1064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ind w:left="640" w:hanging="634"/>
        <w:spacing w:after="0"/>
        <w:tabs>
          <w:tab w:leader="none" w:pos="6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and contained in Exhibit 101).</w:t>
      </w:r>
    </w:p>
    <w:p>
      <w:pPr>
        <w:spacing w:after="0" w:line="1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107*</w:t>
      </w:r>
      <w:r>
        <w:rPr>
          <w:rFonts w:ascii="Times New Roman" w:cs="Times New Roman" w:eastAsia="Times New Roman" w:hAnsi="Times New Roman"/>
          <w:sz w:val="14"/>
          <w:szCs w:val="14"/>
          <w:u w:val="single" w:color="auto"/>
          <w:color w:val="0000EE"/>
        </w:rPr>
        <w:t>Filing Fee Table.</w:t>
      </w:r>
    </w:p>
    <w:p>
      <w:pPr>
        <w:spacing w:after="0" w:line="170" w:lineRule="exact"/>
        <w:rPr>
          <w:sz w:val="20"/>
          <w:szCs w:val="20"/>
          <w:color w:val="auto"/>
        </w:rPr>
      </w:pPr>
    </w:p>
    <w:p>
      <w:pPr>
        <w:ind w:left="260" w:hanging="254"/>
        <w:spacing w:after="0"/>
        <w:tabs>
          <w:tab w:leader="none" w:pos="2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5" w:lineRule="exact"/>
        <w:rPr>
          <w:sz w:val="20"/>
          <w:szCs w:val="20"/>
          <w:color w:val="auto"/>
        </w:rPr>
      </w:pPr>
    </w:p>
    <w:p>
      <w:pPr>
        <w:ind w:left="260" w:hanging="254"/>
        <w:spacing w:after="0"/>
        <w:tabs>
          <w:tab w:leader="none" w:pos="2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contract or arrangement.</w:t>
      </w:r>
    </w:p>
    <w:p>
      <w:pPr>
        <w:spacing w:after="0" w:line="11" w:lineRule="exact"/>
        <w:rPr>
          <w:sz w:val="20"/>
          <w:szCs w:val="20"/>
          <w:color w:val="auto"/>
        </w:rPr>
      </w:pPr>
    </w:p>
    <w:p>
      <w:pPr>
        <w:ind w:left="260" w:hanging="254"/>
        <w:spacing w:after="0" w:line="256" w:lineRule="auto"/>
        <w:tabs>
          <w:tab w:leader="none" w:pos="2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have been omitted pursuant to Item 601(a)(5) of Regulation S-K. The registrant agrees to furnish supplementally a copy of any omitted schedule or exhibit to the U.S. Securities and Exchange Commission upon request.</w:t>
      </w:r>
    </w:p>
    <w:p>
      <w:pPr>
        <w:spacing w:after="0" w:line="1" w:lineRule="exact"/>
        <w:rPr>
          <w:sz w:val="20"/>
          <w:szCs w:val="20"/>
          <w:color w:val="auto"/>
        </w:rPr>
      </w:pPr>
    </w:p>
    <w:p>
      <w:pPr>
        <w:ind w:left="260" w:hanging="254"/>
        <w:spacing w:after="0"/>
        <w:tabs>
          <w:tab w:leader="none" w:pos="2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indicated by brackets and asterisks, have been omitted because they (i) are not material and (ii) are the type that the Company treats as private or confidential.</w:t>
      </w:r>
    </w:p>
    <w:p>
      <w:pPr>
        <w:spacing w:after="0" w:line="169" w:lineRule="exact"/>
        <w:rPr>
          <w:rFonts w:ascii="Times New Roman" w:cs="Times New Roman" w:eastAsia="Times New Roman" w:hAnsi="Times New Roman"/>
          <w:sz w:val="14"/>
          <w:szCs w:val="14"/>
          <w:color w:val="auto"/>
        </w:rPr>
      </w:pPr>
    </w:p>
    <w:p>
      <w:pPr>
        <w:ind w:left="5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49" w:right="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83" w:lineRule="exact"/>
        <w:rPr>
          <w:sz w:val="20"/>
          <w:szCs w:val="20"/>
          <w:color w:val="auto"/>
        </w:rPr>
      </w:pPr>
    </w:p>
    <w:p>
      <w:pPr>
        <w:jc w:val="both"/>
        <w:ind w:left="1040" w:hanging="517"/>
        <w:spacing w:after="0" w:line="260" w:lineRule="auto"/>
        <w:tabs>
          <w:tab w:leader="none" w:pos="10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file, during any period in which offers or sales are being made, a post-effective amendment to this registration statement: (i) to include any prospectus required by Section 10(a)(3) of the Securities Act of 1933, as amended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47" w:lineRule="exact"/>
        <w:rPr>
          <w:rFonts w:ascii="Times New Roman" w:cs="Times New Roman" w:eastAsia="Times New Roman" w:hAnsi="Times New Roman"/>
          <w:sz w:val="14"/>
          <w:szCs w:val="14"/>
          <w:color w:val="auto"/>
        </w:rPr>
      </w:pPr>
    </w:p>
    <w:p>
      <w:pPr>
        <w:ind w:left="1040" w:hanging="517"/>
        <w:spacing w:after="0" w:line="293" w:lineRule="auto"/>
        <w:tabs>
          <w:tab w:leader="none" w:pos="10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3" w:lineRule="exact"/>
        <w:rPr>
          <w:rFonts w:ascii="Times New Roman" w:cs="Times New Roman" w:eastAsia="Times New Roman" w:hAnsi="Times New Roman"/>
          <w:sz w:val="14"/>
          <w:szCs w:val="14"/>
          <w:color w:val="auto"/>
        </w:rPr>
      </w:pPr>
    </w:p>
    <w:p>
      <w:pPr>
        <w:ind w:left="1040" w:hanging="517"/>
        <w:spacing w:after="0"/>
        <w:tabs>
          <w:tab w:leader="none" w:pos="10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83" w:lineRule="exact"/>
        <w:rPr>
          <w:rFonts w:ascii="Times New Roman" w:cs="Times New Roman" w:eastAsia="Times New Roman" w:hAnsi="Times New Roman"/>
          <w:sz w:val="14"/>
          <w:szCs w:val="14"/>
          <w:color w:val="auto"/>
        </w:rPr>
      </w:pPr>
    </w:p>
    <w:p>
      <w:pPr>
        <w:jc w:val="both"/>
        <w:ind w:left="1040" w:hanging="517"/>
        <w:spacing w:after="0" w:line="264" w:lineRule="auto"/>
        <w:tabs>
          <w:tab w:leader="none" w:pos="10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42" w:lineRule="exact"/>
        <w:rPr>
          <w:rFonts w:ascii="Times New Roman" w:cs="Times New Roman" w:eastAsia="Times New Roman" w:hAnsi="Times New Roman"/>
          <w:sz w:val="14"/>
          <w:szCs w:val="14"/>
          <w:color w:val="auto"/>
        </w:rPr>
      </w:pPr>
    </w:p>
    <w:p>
      <w:pPr>
        <w:jc w:val="both"/>
        <w:ind w:left="1040" w:hanging="517"/>
        <w:spacing w:after="0" w:line="268" w:lineRule="auto"/>
        <w:tabs>
          <w:tab w:leader="none" w:pos="10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1" w:lineRule="exact"/>
        <w:rPr>
          <w:rFonts w:ascii="Times New Roman" w:cs="Times New Roman" w:eastAsia="Times New Roman" w:hAnsi="Times New Roman"/>
          <w:sz w:val="14"/>
          <w:szCs w:val="14"/>
          <w:color w:val="auto"/>
        </w:rPr>
      </w:pPr>
    </w:p>
    <w:p>
      <w:pPr>
        <w:ind w:left="1560" w:hanging="521"/>
        <w:spacing w:after="0"/>
        <w:tabs>
          <w:tab w:leader="none" w:pos="156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83" w:lineRule="exact"/>
        <w:rPr>
          <w:rFonts w:ascii="Times New Roman" w:cs="Times New Roman" w:eastAsia="Times New Roman" w:hAnsi="Times New Roman"/>
          <w:sz w:val="14"/>
          <w:szCs w:val="14"/>
          <w:color w:val="auto"/>
        </w:rPr>
      </w:pPr>
    </w:p>
    <w:p>
      <w:pPr>
        <w:ind w:left="1560" w:hanging="521"/>
        <w:spacing w:after="0"/>
        <w:tabs>
          <w:tab w:leader="none" w:pos="156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83" w:lineRule="exact"/>
        <w:rPr>
          <w:rFonts w:ascii="Times New Roman" w:cs="Times New Roman" w:eastAsia="Times New Roman" w:hAnsi="Times New Roman"/>
          <w:sz w:val="14"/>
          <w:szCs w:val="14"/>
          <w:color w:val="auto"/>
        </w:rPr>
      </w:pPr>
    </w:p>
    <w:p>
      <w:pPr>
        <w:ind w:left="1560" w:hanging="521"/>
        <w:spacing w:after="0" w:line="293" w:lineRule="auto"/>
        <w:tabs>
          <w:tab w:leader="none" w:pos="156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an undersigned registrant; and</w:t>
      </w:r>
    </w:p>
    <w:p>
      <w:pPr>
        <w:spacing w:after="0" w:line="123" w:lineRule="exact"/>
        <w:rPr>
          <w:rFonts w:ascii="Times New Roman" w:cs="Times New Roman" w:eastAsia="Times New Roman" w:hAnsi="Times New Roman"/>
          <w:sz w:val="14"/>
          <w:szCs w:val="14"/>
          <w:color w:val="auto"/>
        </w:rPr>
      </w:pPr>
    </w:p>
    <w:p>
      <w:pPr>
        <w:ind w:left="1560" w:hanging="521"/>
        <w:spacing w:after="0"/>
        <w:tabs>
          <w:tab w:leader="none" w:pos="156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83"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53" w:right="31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Irvine, State of California, on October 30, 2026.</w:t>
      </w:r>
    </w:p>
    <w:p>
      <w:pPr>
        <w:spacing w:after="0" w:line="1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1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/s/ Philip Sansone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Philip Sansone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-100965</wp:posOffset>
            </wp:positionV>
            <wp:extent cx="358013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1">
                      <a:extLst>
                        <a:ext uri="{28A0092B-C50C-407E-A947-70E740481C1C}"/>
                      </a:extLst>
                    </a:blip>
                    <a:srcRect/>
                    <a:stretch>
                      <a:fillRect/>
                    </a:stretch>
                  </pic:blipFill>
                  <pic:spPr bwMode="auto">
                    <a:xfrm>
                      <a:off x="0" y="0"/>
                      <a:ext cx="3580130" cy="6985"/>
                    </a:xfrm>
                    <a:prstGeom prst="rect">
                      <a:avLst/>
                    </a:prstGeom>
                    <a:noFill/>
                  </pic:spPr>
                </pic:pic>
              </a:graphicData>
            </a:graphic>
          </wp:anchor>
        </w:drawing>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5" w:lineRule="exact"/>
        <w:rPr>
          <w:sz w:val="20"/>
          <w:szCs w:val="20"/>
          <w:color w:val="auto"/>
        </w:rPr>
      </w:pPr>
    </w:p>
    <w:p>
      <w:pPr>
        <w:jc w:val="both"/>
        <w:ind w:firstLine="517"/>
        <w:spacing w:after="0" w:line="262"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hereby constitutes and appoints Philip Sansone and Keyvan Samini, and each of them, as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Act, this registration statement has been signed by the following persons in the capacities and on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0" w:type="dxa"/>
            <w:vAlign w:val="bottom"/>
          </w:tcPr>
          <w:p>
            <w:pPr>
              <w:spacing w:after="0"/>
              <w:rPr>
                <w:sz w:val="16"/>
                <w:szCs w:val="16"/>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35"/>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Philip Sansone</w:t>
            </w:r>
          </w:p>
        </w:tc>
        <w:tc>
          <w:tcPr>
            <w:tcW w:w="240" w:type="dxa"/>
            <w:vAlign w:val="bottom"/>
          </w:tcPr>
          <w:p>
            <w:pPr>
              <w:spacing w:after="0"/>
              <w:rPr>
                <w:sz w:val="24"/>
                <w:szCs w:val="24"/>
                <w:color w:val="auto"/>
              </w:rPr>
            </w:pPr>
          </w:p>
        </w:tc>
        <w:tc>
          <w:tcPr>
            <w:tcW w:w="5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Philip Sansone</w:t>
            </w:r>
          </w:p>
        </w:tc>
        <w:tc>
          <w:tcPr>
            <w:tcW w:w="240" w:type="dxa"/>
            <w:vAlign w:val="bottom"/>
          </w:tcPr>
          <w:p>
            <w:pPr>
              <w:spacing w:after="0"/>
              <w:rPr>
                <w:sz w:val="15"/>
                <w:szCs w:val="15"/>
                <w:color w:val="auto"/>
              </w:rPr>
            </w:pPr>
          </w:p>
        </w:tc>
        <w:tc>
          <w:tcPr>
            <w:tcW w:w="5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2240" w:type="dxa"/>
            <w:vAlign w:val="bottom"/>
          </w:tcPr>
          <w:p>
            <w:pPr>
              <w:spacing w:after="0"/>
              <w:rPr>
                <w:sz w:val="15"/>
                <w:szCs w:val="15"/>
                <w:color w:val="auto"/>
              </w:rPr>
            </w:pPr>
          </w:p>
        </w:tc>
      </w:tr>
      <w:tr>
        <w:trPr>
          <w:trHeight w:val="33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Keyvan Samini</w:t>
            </w:r>
          </w:p>
        </w:tc>
        <w:tc>
          <w:tcPr>
            <w:tcW w:w="240" w:type="dxa"/>
            <w:vAlign w:val="bottom"/>
          </w:tcPr>
          <w:p>
            <w:pPr>
              <w:spacing w:after="0"/>
              <w:rPr>
                <w:sz w:val="24"/>
                <w:szCs w:val="24"/>
                <w:color w:val="auto"/>
              </w:rPr>
            </w:pPr>
          </w:p>
        </w:tc>
        <w:tc>
          <w:tcPr>
            <w:tcW w:w="5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President, Chief Financial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8"/>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Keyvan Samini</w:t>
            </w:r>
          </w:p>
        </w:tc>
        <w:tc>
          <w:tcPr>
            <w:tcW w:w="240" w:type="dxa"/>
            <w:vAlign w:val="bottom"/>
          </w:tcPr>
          <w:p>
            <w:pPr>
              <w:spacing w:after="0"/>
              <w:rPr>
                <w:sz w:val="15"/>
                <w:szCs w:val="15"/>
                <w:color w:val="auto"/>
              </w:rPr>
            </w:pPr>
          </w:p>
        </w:tc>
        <w:tc>
          <w:tcPr>
            <w:tcW w:w="5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i w:val="1"/>
                <w:iCs w:val="1"/>
                <w:color w:val="auto"/>
              </w:rPr>
              <w:t>(Principal Financial Officer and Principal Accounting Officer)</w:t>
            </w:r>
          </w:p>
        </w:tc>
        <w:tc>
          <w:tcPr>
            <w:tcW w:w="2240" w:type="dxa"/>
            <w:vAlign w:val="bottom"/>
          </w:tcPr>
          <w:p>
            <w:pPr>
              <w:spacing w:after="0"/>
              <w:rPr>
                <w:sz w:val="15"/>
                <w:szCs w:val="15"/>
                <w:color w:val="auto"/>
              </w:rPr>
            </w:pPr>
          </w:p>
        </w:tc>
      </w:tr>
      <w:tr>
        <w:trPr>
          <w:trHeight w:val="33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James Peterson</w:t>
            </w:r>
          </w:p>
        </w:tc>
        <w:tc>
          <w:tcPr>
            <w:tcW w:w="240" w:type="dxa"/>
            <w:vAlign w:val="bottom"/>
          </w:tcPr>
          <w:p>
            <w:pPr>
              <w:spacing w:after="0"/>
              <w:rPr>
                <w:sz w:val="24"/>
                <w:szCs w:val="24"/>
                <w:color w:val="auto"/>
              </w:rPr>
            </w:pPr>
          </w:p>
        </w:tc>
        <w:tc>
          <w:tcPr>
            <w:tcW w:w="5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James Peterson</w:t>
            </w:r>
          </w:p>
        </w:tc>
        <w:tc>
          <w:tcPr>
            <w:tcW w:w="2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3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David Aldrich</w:t>
            </w:r>
          </w:p>
        </w:tc>
        <w:tc>
          <w:tcPr>
            <w:tcW w:w="240" w:type="dxa"/>
            <w:vAlign w:val="bottom"/>
          </w:tcPr>
          <w:p>
            <w:pPr>
              <w:spacing w:after="0"/>
              <w:rPr>
                <w:sz w:val="24"/>
                <w:szCs w:val="24"/>
                <w:color w:val="auto"/>
              </w:rPr>
            </w:pPr>
          </w:p>
        </w:tc>
        <w:tc>
          <w:tcPr>
            <w:tcW w:w="5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David Aldrich</w:t>
            </w:r>
          </w:p>
        </w:tc>
        <w:tc>
          <w:tcPr>
            <w:tcW w:w="2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3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Kurt Busch</w:t>
            </w:r>
          </w:p>
        </w:tc>
        <w:tc>
          <w:tcPr>
            <w:tcW w:w="240" w:type="dxa"/>
            <w:vAlign w:val="bottom"/>
          </w:tcPr>
          <w:p>
            <w:pPr>
              <w:spacing w:after="0"/>
              <w:rPr>
                <w:sz w:val="24"/>
                <w:szCs w:val="24"/>
                <w:color w:val="auto"/>
              </w:rPr>
            </w:pPr>
          </w:p>
        </w:tc>
        <w:tc>
          <w:tcPr>
            <w:tcW w:w="5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Kurt Busch</w:t>
            </w:r>
          </w:p>
        </w:tc>
        <w:tc>
          <w:tcPr>
            <w:tcW w:w="2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3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William Carpou</w:t>
            </w:r>
          </w:p>
        </w:tc>
        <w:tc>
          <w:tcPr>
            <w:tcW w:w="240" w:type="dxa"/>
            <w:vAlign w:val="bottom"/>
          </w:tcPr>
          <w:p>
            <w:pPr>
              <w:spacing w:after="0"/>
              <w:rPr>
                <w:sz w:val="24"/>
                <w:szCs w:val="24"/>
                <w:color w:val="auto"/>
              </w:rPr>
            </w:pPr>
          </w:p>
        </w:tc>
        <w:tc>
          <w:tcPr>
            <w:tcW w:w="5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William Carpou</w:t>
            </w:r>
          </w:p>
        </w:tc>
        <w:tc>
          <w:tcPr>
            <w:tcW w:w="2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3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Frederick Goerner</w:t>
            </w:r>
          </w:p>
        </w:tc>
        <w:tc>
          <w:tcPr>
            <w:tcW w:w="240" w:type="dxa"/>
            <w:vAlign w:val="bottom"/>
          </w:tcPr>
          <w:p>
            <w:pPr>
              <w:spacing w:after="0"/>
              <w:rPr>
                <w:sz w:val="24"/>
                <w:szCs w:val="24"/>
                <w:color w:val="auto"/>
              </w:rPr>
            </w:pPr>
          </w:p>
        </w:tc>
        <w:tc>
          <w:tcPr>
            <w:tcW w:w="5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Frederick Goerner</w:t>
            </w:r>
          </w:p>
        </w:tc>
        <w:tc>
          <w:tcPr>
            <w:tcW w:w="2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3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Michael Long</w:t>
            </w:r>
          </w:p>
        </w:tc>
        <w:tc>
          <w:tcPr>
            <w:tcW w:w="240" w:type="dxa"/>
            <w:vAlign w:val="bottom"/>
          </w:tcPr>
          <w:p>
            <w:pPr>
              <w:spacing w:after="0"/>
              <w:rPr>
                <w:sz w:val="24"/>
                <w:szCs w:val="24"/>
                <w:color w:val="auto"/>
              </w:rPr>
            </w:pPr>
          </w:p>
        </w:tc>
        <w:tc>
          <w:tcPr>
            <w:tcW w:w="5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October 30, 2026</w:t>
            </w:r>
          </w:p>
        </w:tc>
      </w:tr>
      <w:tr>
        <w:trPr>
          <w:trHeight w:val="177"/>
        </w:trPr>
        <w:tc>
          <w:tcPr>
            <w:tcW w:w="3160" w:type="dxa"/>
            <w:vAlign w:val="bottom"/>
          </w:tcPr>
          <w:p>
            <w:pPr>
              <w:spacing w:after="0"/>
              <w:rPr>
                <w:sz w:val="20"/>
                <w:szCs w:val="20"/>
                <w:color w:val="auto"/>
              </w:rPr>
            </w:pPr>
            <w:r>
              <w:rPr>
                <w:rFonts w:ascii="Times New Roman" w:cs="Times New Roman" w:eastAsia="Times New Roman" w:hAnsi="Times New Roman"/>
                <w:sz w:val="14"/>
                <w:szCs w:val="14"/>
                <w:color w:val="auto"/>
              </w:rPr>
              <w:t>Michael Long</w:t>
            </w:r>
          </w:p>
        </w:tc>
        <w:tc>
          <w:tcPr>
            <w:tcW w:w="2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330"/>
        </w:trPr>
        <w:tc>
          <w:tcPr>
            <w:tcW w:w="3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2"/>
          </w:tcPr>
          <w:p>
            <w:pPr>
              <w:ind w:left="2100"/>
              <w:spacing w:after="0"/>
              <w:rPr>
                <w:sz w:val="20"/>
                <w:szCs w:val="20"/>
                <w:color w:val="auto"/>
              </w:rPr>
            </w:pPr>
            <w:r>
              <w:rPr>
                <w:rFonts w:ascii="Times New Roman" w:cs="Times New Roman" w:eastAsia="Times New Roman" w:hAnsi="Times New Roman"/>
                <w:sz w:val="14"/>
                <w:szCs w:val="14"/>
                <w:color w:val="auto"/>
              </w:rPr>
              <w:t>II-16</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3" w:right="31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2008505" cy="3276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2">
                      <a:extLst>
                        <a:ext uri="{28A0092B-C50C-407E-A947-70E740481C1C}"/>
                      </a:extLst>
                    </a:blip>
                    <a:srcRect/>
                    <a:stretch>
                      <a:fillRect/>
                    </a:stretch>
                  </pic:blipFill>
                  <pic:spPr bwMode="auto">
                    <a:xfrm>
                      <a:off x="0" y="0"/>
                      <a:ext cx="2008505" cy="32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 ],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Mobix Labs, Inc.</w:t>
      </w:r>
    </w:p>
    <w:p>
      <w:pPr>
        <w:spacing w:after="0" w:line="25" w:lineRule="exact"/>
        <w:rPr>
          <w:sz w:val="20"/>
          <w:szCs w:val="20"/>
          <w:color w:val="auto"/>
        </w:rPr>
      </w:pPr>
    </w:p>
    <w:p>
      <w:pPr>
        <w:jc w:val="both"/>
        <w:ind w:right="10260" w:firstLine="6"/>
        <w:spacing w:after="0" w:line="264" w:lineRule="auto"/>
        <w:tabs>
          <w:tab w:leader="none" w:pos="105"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Venture, Suite 220 Irvine, CA 92618</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Re:</w:t>
            </w:r>
          </w:p>
        </w:tc>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Mobix Labs, Inc.</w:t>
            </w:r>
          </w:p>
        </w:tc>
      </w:tr>
      <w:tr>
        <w:trPr>
          <w:trHeight w:val="155"/>
        </w:trPr>
        <w:tc>
          <w:tcPr>
            <w:tcW w:w="520" w:type="dxa"/>
            <w:vAlign w:val="bottom"/>
          </w:tcPr>
          <w:p>
            <w:pPr>
              <w:spacing w:after="0"/>
              <w:rPr>
                <w:sz w:val="13"/>
                <w:szCs w:val="13"/>
                <w:color w:val="auto"/>
              </w:rPr>
            </w:pPr>
          </w:p>
        </w:tc>
        <w:tc>
          <w:tcPr>
            <w:tcW w:w="20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Registration Statement on Form S-1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83" w:lineRule="exact"/>
        <w:rPr>
          <w:sz w:val="20"/>
          <w:szCs w:val="20"/>
          <w:color w:val="auto"/>
        </w:rPr>
      </w:pPr>
    </w:p>
    <w:p>
      <w:pPr>
        <w:jc w:val="both"/>
        <w:ind w:firstLine="517"/>
        <w:spacing w:after="0" w:line="264" w:lineRule="auto"/>
        <w:rPr>
          <w:sz w:val="20"/>
          <w:szCs w:val="20"/>
          <w:color w:val="auto"/>
        </w:rPr>
      </w:pPr>
      <w:r>
        <w:rPr>
          <w:rFonts w:ascii="Times New Roman" w:cs="Times New Roman" w:eastAsia="Times New Roman" w:hAnsi="Times New Roman"/>
          <w:sz w:val="14"/>
          <w:szCs w:val="14"/>
          <w:color w:val="auto"/>
        </w:rPr>
        <w:t>We have acted as counsel to Mobix Labs,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in connection with the filing of the Registration Statement on Form S-1 (the “</w:t>
      </w:r>
      <w:r>
        <w:rPr>
          <w:rFonts w:ascii="Times New Roman" w:cs="Times New Roman" w:eastAsia="Times New Roman" w:hAnsi="Times New Roman"/>
          <w:sz w:val="14"/>
          <w:szCs w:val="14"/>
          <w:u w:val="single" w:color="auto"/>
          <w:color w:val="auto"/>
        </w:rPr>
        <w:t>Registration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Statement</w:t>
      </w:r>
      <w:r>
        <w:rPr>
          <w:rFonts w:ascii="Times New Roman" w:cs="Times New Roman" w:eastAsia="Times New Roman" w:hAnsi="Times New Roman"/>
          <w:sz w:val="14"/>
          <w:szCs w:val="14"/>
          <w:color w:val="auto"/>
        </w:rPr>
        <w:t>”) including the related prospectus contained therein and forming a part thereof (the “</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The Registration Statement relates to the offer and resale by the selling securityholders named therein of up to 6,000,000 shares of the Company’s Class A common stock, par value $0.00001 per share (the “</w:t>
      </w:r>
      <w:r>
        <w:rPr>
          <w:rFonts w:ascii="Times New Roman" w:cs="Times New Roman" w:eastAsia="Times New Roman" w:hAnsi="Times New Roman"/>
          <w:sz w:val="14"/>
          <w:szCs w:val="14"/>
          <w:u w:val="single" w:color="auto"/>
          <w:color w:val="auto"/>
        </w:rPr>
        <w:t>Class A Common Stock</w:t>
      </w:r>
      <w:r>
        <w:rPr>
          <w:rFonts w:ascii="Times New Roman" w:cs="Times New Roman" w:eastAsia="Times New Roman" w:hAnsi="Times New Roman"/>
          <w:sz w:val="14"/>
          <w:szCs w:val="14"/>
          <w:color w:val="auto"/>
        </w:rPr>
        <w:t xml:space="preserve"> issuable to an investor upon the conversion of up to 241 shares of Series A 10% Convertible Preferred Stock and 9,800 shares of Series A 10% Convertible Preferred Stock issuable upon exercise of a Preferred Stock Purchase Warrant (the “</w:t>
      </w:r>
      <w:r>
        <w:rPr>
          <w:rFonts w:ascii="Times New Roman" w:cs="Times New Roman" w:eastAsia="Times New Roman" w:hAnsi="Times New Roman"/>
          <w:sz w:val="14"/>
          <w:szCs w:val="14"/>
          <w:u w:val="single" w:color="auto"/>
          <w:color w:val="auto"/>
        </w:rPr>
        <w:t>Preferred Warrant</w:t>
      </w:r>
      <w:r>
        <w:rPr>
          <w:rFonts w:ascii="Times New Roman" w:cs="Times New Roman" w:eastAsia="Times New Roman" w:hAnsi="Times New Roman"/>
          <w:sz w:val="14"/>
          <w:szCs w:val="14"/>
          <w:color w:val="auto"/>
        </w:rPr>
        <w:t>”), (the shares of Class A Common Stock issuable upon conversion of the Series A 10% Convertible Preferred stock issued and underlying the Preferred Warrant, the “</w:t>
      </w:r>
      <w:r>
        <w:rPr>
          <w:rFonts w:ascii="Times New Roman" w:cs="Times New Roman" w:eastAsia="Times New Roman" w:hAnsi="Times New Roman"/>
          <w:sz w:val="14"/>
          <w:szCs w:val="14"/>
          <w:u w:val="single" w:color="auto"/>
          <w:color w:val="auto"/>
        </w:rPr>
        <w:t>Preferred Shares</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Preferred Shares are referred to as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firstLine="517"/>
        <w:spacing w:after="0" w:line="260" w:lineRule="auto"/>
        <w:rPr>
          <w:sz w:val="20"/>
          <w:szCs w:val="20"/>
          <w:color w:val="auto"/>
        </w:rPr>
      </w:pPr>
      <w:r>
        <w:rPr>
          <w:rFonts w:ascii="Times New Roman" w:cs="Times New Roman" w:eastAsia="Times New Roman" w:hAnsi="Times New Roman"/>
          <w:sz w:val="14"/>
          <w:szCs w:val="14"/>
          <w:color w:val="auto"/>
        </w:rPr>
        <w:t>In rendering the opinions set forth below, we have reviewed such certificates, corporate and public records, agreements and instruments and other documents, including, among other things, the documents delivered in connection with the issuance of the Securities as of the date hereof, as we have deemed appropriate as a basis for the opinions expressed below. In all such examinations we have assumed the genuineness of all signatures, the authenticity of all documents, agreements and instruments submitted to us as originals, the conformity to original documents, agreements and instruments of all documents, agreements and instruments submitted to us as copies or specimens, the authenticity of the originals of such documents, agreements and instruments submitted to us as copies or specimens, the conformity of the text of each document filed with the Commission through the Commission’s Electronic Data Gathering, Analysis and Retrieval System to the printed document reviewed by us, the accuracy of the matters set forth in the documents, agreements and instruments we reviewed, and that such documents, agreements and instruments evidence the entire understanding between the parties thereto and have not been amended, modified or supplemented in any manner material to the opinions expressed herein. As to matters of fact relevant to the opinions expressed herein, we have relied upon, and assumed the accuracy of, the representations and warranties contained in the Registration Statement, and we have relied upon certificates and oral or written statements and other information obtained from the Company, the other parties to the transactions referenced herein, and public officials. Except as expressly set forth herein, we have not undertaken any independent investigation (including, without limitation, conducting any review, search or investigation of any public files, records or dockets) to determine the existence or absence of the facts that are material to our opinions, and no inference as to our knowledge concerning such facts should be drawn from our reliance on the representations of the Company and others in connection with the preparation and delivery of this letter.</w:t>
      </w:r>
    </w:p>
    <w:p>
      <w:pPr>
        <w:spacing w:after="0" w:line="14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We have also assumed (x) the legal capacity of all natural persons and (y) (except to the extent expressly opined on herein) that all documents, agreements and instruments have been duly authorized, executed and delivered by all parties thereto, other than the Company, that all such parties are validly existing and in good standing under the laws of their respective jurisdictions of organization, that all such parties had the power and legal right to execute and deliver all such documents, agreements and instruments, and that such documents, agreements and instruments constitute the legal, valid and binding obligations of such parties, enforceable against such parties in accordance with their respective terms.</w:t>
      </w:r>
    </w:p>
    <w:p>
      <w:pPr>
        <w:spacing w:after="0" w:line="142"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We express no opinion concerning the laws of any jurisdiction other than the federal laws of the United States of America, and the General Corporation Law of the State of Delaware, including the applicable provisions of the Delaware Constitution and the reported judicial decisions interpreting such law, in each case as currently in effect.</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Based upon and subject to the foregoing, we are of the opinion that: the Preferred Shares have been duly authorized, and when issued and delivered upon the valid conversion of the Series A 10% Convertible Preferred Stock in accordance with its Certificate of Designation, the Preferred Shares will be validly issued, fully paid and non-assessable..</w:t>
      </w:r>
    </w:p>
    <w:p>
      <w:pPr>
        <w:spacing w:after="0" w:line="123"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In addition, we consent to the reference to our name under the caption “Legal Matters” in the Registration Statement. In giving this consent, we do not admit that we are in the category of persons whose consent is required under Section 7 of the Securities Act. In addition, we disclaim any obligation to update this letter or communicate with or advise you as to any changes in fact or law, or otherwise.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Greenberg Traurig, LLP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Greenberg Traurig,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358013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3">
                      <a:extLst>
                        <a:ext uri="{28A0092B-C50C-407E-A947-70E740481C1C}"/>
                      </a:extLst>
                    </a:blip>
                    <a:srcRect/>
                    <a:stretch>
                      <a:fillRect/>
                    </a:stretch>
                  </pic:blipFill>
                  <pic:spPr bwMode="auto">
                    <a:xfrm>
                      <a:off x="0" y="0"/>
                      <a:ext cx="358013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234950</wp:posOffset>
            </wp:positionV>
            <wp:extent cx="716026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4"/>
          <w:szCs w:val="14"/>
          <w:b w:val="1"/>
          <w:bCs w:val="1"/>
          <w:color w:val="auto"/>
        </w:rPr>
        <w:t>Exhibit 10.4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MOBIX LABS,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AMENDED AND RESTATED 2023 EQUITY INCENTIVE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Amended and Restated Effective as of October 2,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Purpose.</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purpose of this Mobix Labs, Inc. Amended and Restated 2023 Equity Incentive Plan (including any sub-plans as applicable), as may be amended from time to time (the “Plan”) is to assist Mobix Labs,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Definitions.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purposes of the Plan, the following terms shall be defined as set forth below, in addition to such terms defined in Section 1 hereof and elsewhere herein.</w:t>
      </w:r>
    </w:p>
    <w:p>
      <w:pPr>
        <w:spacing w:after="0" w:line="183" w:lineRule="exact"/>
        <w:rPr>
          <w:sz w:val="20"/>
          <w:szCs w:val="20"/>
          <w:color w:val="auto"/>
        </w:rPr>
      </w:pPr>
    </w:p>
    <w:p>
      <w:pPr>
        <w:ind w:left="720" w:hanging="197"/>
        <w:spacing w:after="0"/>
        <w:tabs>
          <w:tab w:leader="none" w:pos="7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“Affiliate” shall have the meaning ascribed to such term in Rule 12b-2 of the General Rules and Regulations under the Exchange Act and any successor to such Rule.</w:t>
      </w:r>
    </w:p>
    <w:p>
      <w:pPr>
        <w:spacing w:after="0" w:line="183" w:lineRule="exact"/>
        <w:rPr>
          <w:rFonts w:ascii="Times New Roman" w:cs="Times New Roman" w:eastAsia="Times New Roman" w:hAnsi="Times New Roman"/>
          <w:sz w:val="14"/>
          <w:szCs w:val="14"/>
          <w:color w:val="auto"/>
        </w:rPr>
      </w:pPr>
    </w:p>
    <w:p>
      <w:pPr>
        <w:jc w:val="both"/>
        <w:ind w:left="520" w:firstLine="3"/>
        <w:spacing w:after="0" w:line="275" w:lineRule="auto"/>
        <w:tabs>
          <w:tab w:leader="none" w:pos="73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shall mean any Option, Stock Appreciation Right, Restricted Stock Award, Restricted Stock Unit Award, Share granted as a bonus or in lieu of another Award, Dividend Equivalent, Other Stock-Based Award or Performance Award, together with any other right or interest relating to Shares or other property (including cash), granted to a Participant under the Plan.</w:t>
      </w:r>
    </w:p>
    <w:p>
      <w:pPr>
        <w:spacing w:after="0" w:line="135" w:lineRule="exact"/>
        <w:rPr>
          <w:rFonts w:ascii="Times New Roman" w:cs="Times New Roman" w:eastAsia="Times New Roman" w:hAnsi="Times New Roman"/>
          <w:sz w:val="14"/>
          <w:szCs w:val="14"/>
          <w:color w:val="auto"/>
        </w:rPr>
      </w:pPr>
    </w:p>
    <w:p>
      <w:pPr>
        <w:ind w:left="720" w:hanging="197"/>
        <w:spacing w:after="0"/>
        <w:tabs>
          <w:tab w:leader="none" w:pos="7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Agreement” shall mean any written agreement, contract or other instrument or document evidencing any Award granted by the Committee hereunder.</w:t>
      </w:r>
    </w:p>
    <w:p>
      <w:pPr>
        <w:spacing w:after="0" w:line="183" w:lineRule="exact"/>
        <w:rPr>
          <w:rFonts w:ascii="Times New Roman" w:cs="Times New Roman" w:eastAsia="Times New Roman" w:hAnsi="Times New Roman"/>
          <w:sz w:val="14"/>
          <w:szCs w:val="14"/>
          <w:color w:val="auto"/>
        </w:rPr>
      </w:pPr>
    </w:p>
    <w:p>
      <w:pPr>
        <w:jc w:val="both"/>
        <w:ind w:left="520" w:firstLine="3"/>
        <w:spacing w:after="0" w:line="275" w:lineRule="auto"/>
        <w:tabs>
          <w:tab w:leader="none" w:pos="725"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“BCA” shall mean that certain Business Combination Agreement, dated as of November 15, 2022, by and among Chavant Capital Acquisition Corp., a publicly traded special purpose acquisition company incorporated under the laws of the Cayman Islands, CLAY Merger Sub II, Inc., a Delaware corporation and newly formed, wholly-owned direct subsidiary of Chavant and the Company.</w:t>
      </w:r>
    </w:p>
    <w:p>
      <w:pPr>
        <w:spacing w:after="0" w:line="135" w:lineRule="exact"/>
        <w:rPr>
          <w:rFonts w:ascii="Times New Roman" w:cs="Times New Roman" w:eastAsia="Times New Roman" w:hAnsi="Times New Roman"/>
          <w:sz w:val="14"/>
          <w:szCs w:val="14"/>
          <w:color w:val="auto"/>
        </w:rPr>
      </w:pPr>
    </w:p>
    <w:p>
      <w:pPr>
        <w:jc w:val="both"/>
        <w:ind w:left="520" w:firstLine="3"/>
        <w:spacing w:after="0" w:line="275" w:lineRule="auto"/>
        <w:tabs>
          <w:tab w:leader="none" w:pos="738"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“Beneficiary” shall mean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9(b) hereof. If, upon a Participant’s death, there is no designated Beneficiary or surviving designated Beneficiary, then the term Beneficiary means the Participant’s estate.</w:t>
      </w:r>
    </w:p>
    <w:p>
      <w:pPr>
        <w:spacing w:after="0" w:line="135" w:lineRule="exact"/>
        <w:rPr>
          <w:rFonts w:ascii="Times New Roman" w:cs="Times New Roman" w:eastAsia="Times New Roman" w:hAnsi="Times New Roman"/>
          <w:sz w:val="14"/>
          <w:szCs w:val="14"/>
          <w:color w:val="auto"/>
        </w:rPr>
      </w:pPr>
    </w:p>
    <w:p>
      <w:pPr>
        <w:ind w:left="700" w:hanging="177"/>
        <w:spacing w:after="0"/>
        <w:tabs>
          <w:tab w:leader="none" w:pos="7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 and “Beneficial Ownership” shall have the meaning ascribed to such term in Rule 13d-3 under the Exchange Act and any successor to such Rule.</w:t>
      </w:r>
    </w:p>
    <w:p>
      <w:pPr>
        <w:spacing w:after="0" w:line="183" w:lineRule="exact"/>
        <w:rPr>
          <w:rFonts w:ascii="Times New Roman" w:cs="Times New Roman" w:eastAsia="Times New Roman" w:hAnsi="Times New Roman"/>
          <w:sz w:val="14"/>
          <w:szCs w:val="14"/>
          <w:color w:val="auto"/>
        </w:rPr>
      </w:pPr>
    </w:p>
    <w:p>
      <w:pPr>
        <w:ind w:left="720" w:hanging="197"/>
        <w:spacing w:after="0"/>
        <w:tabs>
          <w:tab w:leader="none" w:pos="7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shall mean the Board of Directors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77" w:name="page178"/>
    <w:bookmarkEnd w:id="177"/>
    <w:p>
      <w:pPr>
        <w:jc w:val="both"/>
        <w:ind w:firstLine="3"/>
        <w:spacing w:after="0" w:line="260" w:lineRule="auto"/>
        <w:tabs>
          <w:tab w:leader="none" w:pos="217"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shall have the equivalent meaning or the same meaning as “cause” or “for cause” as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or any violation or breach of any material written policy or rule of the Company as may be in effect from time to time, including any of such policy or rule regarding sexual harassment or work-place discrimination, (iii) any violation or breach by the Participant of any non-competition, non-solicitation, non-disclosure, confidentiality and/or other similar agreement with the Company or a Related Entity, (iv) any act by the Participant of dishonesty or bad faith with respect to the Company or a Related Entity, including the Participant’s commission of or participation in an act of fraud, embezzlement, misappropriation, breach of fiduciary duty against the Company or a Related Entity, (v) the Participant’s unlawful use (including being under the influence) or possession of illegal drugs on the premises of the Company or while performing Participant’s duties and responsibilities for the Company, or the use of alcohol, drugs or other similar substances in a manner that adversely affects the Participant’s work performance, or (vi) the Participant’s conviction of, or plea of guilty or nolo contendere to, any felony or crime involving moral turpitude. The good faith determination by the Committee of whether the Participant’s Continuous Service was terminated by the Company for “Cause” shall be final and binding for all purposes hereunder.</w:t>
      </w:r>
    </w:p>
    <w:p>
      <w:pPr>
        <w:spacing w:after="0" w:line="147" w:lineRule="exact"/>
        <w:rPr>
          <w:rFonts w:ascii="Times New Roman" w:cs="Times New Roman" w:eastAsia="Times New Roman" w:hAnsi="Times New Roman"/>
          <w:sz w:val="14"/>
          <w:szCs w:val="14"/>
          <w:color w:val="auto"/>
        </w:rPr>
      </w:pPr>
    </w:p>
    <w:p>
      <w:pPr>
        <w:ind w:left="180" w:hanging="177"/>
        <w:spacing w:after="0"/>
        <w:tabs>
          <w:tab w:leader="none" w:pos="1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Control” shall mean a Change in Control as defined in Section 8(b) of the Plan.</w:t>
      </w:r>
    </w:p>
    <w:p>
      <w:pPr>
        <w:spacing w:after="0" w:line="183" w:lineRule="exact"/>
        <w:rPr>
          <w:rFonts w:ascii="Times New Roman" w:cs="Times New Roman" w:eastAsia="Times New Roman" w:hAnsi="Times New Roman"/>
          <w:sz w:val="14"/>
          <w:szCs w:val="14"/>
          <w:color w:val="auto"/>
        </w:rPr>
      </w:pPr>
    </w:p>
    <w:p>
      <w:pPr>
        <w:ind w:left="180" w:hanging="177"/>
        <w:spacing w:after="0"/>
        <w:tabs>
          <w:tab w:leader="none" w:pos="1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“Code” shall mean the Internal Revenue Code of 1986, as amended from time to time, including regulations thereunder and successor provisions and regulations thereto.</w:t>
      </w:r>
    </w:p>
    <w:p>
      <w:pPr>
        <w:spacing w:after="0" w:line="183" w:lineRule="exact"/>
        <w:rPr>
          <w:rFonts w:ascii="Times New Roman" w:cs="Times New Roman" w:eastAsia="Times New Roman" w:hAnsi="Times New Roman"/>
          <w:sz w:val="14"/>
          <w:szCs w:val="14"/>
          <w:color w:val="auto"/>
        </w:rPr>
      </w:pPr>
    </w:p>
    <w:p>
      <w:pPr>
        <w:jc w:val="both"/>
        <w:ind w:firstLine="3"/>
        <w:spacing w:after="0" w:line="265" w:lineRule="auto"/>
        <w:tabs>
          <w:tab w:leader="none" w:pos="207"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shall mean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While it is intended that the Committee shall consist of at least two directors, each of whom shall be (i) a “non-employee director” within the meaning of Rule 16b-3 (or any successor rule) under the Exchange Act, unless administration of the Plan by “non-employee directors” is not then required in order for exemptions under Rule 16b-3 to apply to transactions under the Plan and (ii) “Independent”, the failure of the Committee to be so comprised shall not invalidate any Award that otherwise satisfies the terms of the Plan.</w:t>
      </w:r>
    </w:p>
    <w:p>
      <w:pPr>
        <w:spacing w:after="0" w:line="144" w:lineRule="exact"/>
        <w:rPr>
          <w:rFonts w:ascii="Times New Roman" w:cs="Times New Roman" w:eastAsia="Times New Roman" w:hAnsi="Times New Roman"/>
          <w:sz w:val="14"/>
          <w:szCs w:val="14"/>
          <w:color w:val="auto"/>
        </w:rPr>
      </w:pPr>
    </w:p>
    <w:p>
      <w:pPr>
        <w:jc w:val="both"/>
        <w:ind w:firstLine="3"/>
        <w:spacing w:after="0" w:line="265" w:lineRule="auto"/>
        <w:tabs>
          <w:tab w:leader="none" w:pos="181"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“Consultant” shall mean any consultant or advisor who provides services to the Company or any Related Entity, so long as (i) such person renders bona fide services that are not in connection with the offer and sale of the Company’s securities in a capital-raising transaction, (ii) such person does not directly or indirectly promote or maintain a market for the Company’s securities, and (iii) the identity of such person would not preclude the Company from offering or selling securities to such person pursuant to the Plan in reliance on either the exemption from registration provided by Rule 701 under the Securities Act of 1933 or, if the Company is required to file reports pursuant to Section 13 or 15(d) of the Exchange Act, registration on a Form S-8 Registration Statement under the Securities Act of 1933.</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16510</wp:posOffset>
            </wp:positionV>
            <wp:extent cx="716026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760"/>
          </w:cols>
          <w:pgMar w:left="820" w:top="577" w:right="319" w:bottom="1440" w:gutter="0" w:footer="0" w:header="0"/>
        </w:sectPr>
      </w:pPr>
    </w:p>
    <w:bookmarkStart w:id="178" w:name="page179"/>
    <w:bookmarkEnd w:id="178"/>
    <w:p>
      <w:pPr>
        <w:jc w:val="both"/>
        <w:ind w:firstLine="3"/>
        <w:spacing w:after="0" w:line="265" w:lineRule="auto"/>
        <w:tabs>
          <w:tab w:leader="none" w:pos="25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“Continuous Service” shall mean the uninterrupted provision of services to the Company or any Related Entity in any capacity of Employee, Director, Consultant or other service provider. Continuous Service shall not be considered to be interrupted in the case of (i) any approved leave of absence (including, without limitation, sick leave, military leave, or any other authorized personal leave),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w:t>
      </w:r>
    </w:p>
    <w:p>
      <w:pPr>
        <w:spacing w:after="0" w:line="144"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 shall mean a member of the Board or the board of directors of any Related Entity.</w:t>
      </w:r>
    </w:p>
    <w:p>
      <w:pPr>
        <w:spacing w:after="0" w:line="183" w:lineRule="exact"/>
        <w:rPr>
          <w:rFonts w:ascii="Times New Roman" w:cs="Times New Roman" w:eastAsia="Times New Roman" w:hAnsi="Times New Roman"/>
          <w:sz w:val="14"/>
          <w:szCs w:val="14"/>
          <w:color w:val="auto"/>
        </w:rPr>
      </w:pPr>
    </w:p>
    <w:p>
      <w:pPr>
        <w:jc w:val="both"/>
        <w:ind w:firstLine="3"/>
        <w:spacing w:after="0" w:line="275" w:lineRule="auto"/>
        <w:tabs>
          <w:tab w:leader="none" w:pos="219"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“Disability” shall mean, unless otherwise defined in an Award Agreement, for purposes of the exercise of an Incentive Stock Option, a permanent and total disability, within the meaning of Code Section 22(e)(3), and for all other purposes, the Participant’s inability to perform the duties of his or her position with the Company or any Related Entity by reason of any medically determinable physical or mental impairment that can be expected to result in death or can be expected to last for a continuous period of not less than twelve (12) months.</w:t>
      </w:r>
    </w:p>
    <w:p>
      <w:pPr>
        <w:spacing w:after="0" w:line="135" w:lineRule="exact"/>
        <w:rPr>
          <w:rFonts w:ascii="Times New Roman" w:cs="Times New Roman" w:eastAsia="Times New Roman" w:hAnsi="Times New Roman"/>
          <w:sz w:val="14"/>
          <w:szCs w:val="14"/>
          <w:color w:val="auto"/>
        </w:rPr>
      </w:pPr>
    </w:p>
    <w:p>
      <w:pPr>
        <w:ind w:firstLine="3"/>
        <w:spacing w:after="0" w:line="293" w:lineRule="auto"/>
        <w:tabs>
          <w:tab w:leader="none" w:pos="209"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Equivalent” shall mean a right, granted to a Participant under Section 6(g) hereof, to receive cash, Shares, other Awards or other property equal in value to dividends paid with respect to a specified number of Shares, or other periodic payments.</w:t>
      </w:r>
    </w:p>
    <w:p>
      <w:pPr>
        <w:spacing w:after="0" w:line="123"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Date” shall mean the date on which the transactions contemplated by the BCA are consummated, which shall be December 21, 2023.</w:t>
      </w:r>
    </w:p>
    <w:p>
      <w:pPr>
        <w:spacing w:after="0" w:line="183" w:lineRule="exact"/>
        <w:rPr>
          <w:rFonts w:ascii="Times New Roman" w:cs="Times New Roman" w:eastAsia="Times New Roman" w:hAnsi="Times New Roman"/>
          <w:sz w:val="14"/>
          <w:szCs w:val="14"/>
          <w:color w:val="auto"/>
        </w:rPr>
      </w:pPr>
    </w:p>
    <w:p>
      <w:pPr>
        <w:jc w:val="both"/>
        <w:ind w:firstLine="3"/>
        <w:spacing w:after="0" w:line="268" w:lineRule="auto"/>
        <w:tabs>
          <w:tab w:leader="none" w:pos="182"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“Eligible Person” shall mean each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w:t>
      </w:r>
    </w:p>
    <w:p>
      <w:pPr>
        <w:spacing w:after="0" w:line="141" w:lineRule="exact"/>
        <w:rPr>
          <w:rFonts w:ascii="Times New Roman" w:cs="Times New Roman" w:eastAsia="Times New Roman" w:hAnsi="Times New Roman"/>
          <w:sz w:val="14"/>
          <w:szCs w:val="14"/>
          <w:color w:val="auto"/>
        </w:rPr>
      </w:pPr>
    </w:p>
    <w:p>
      <w:pPr>
        <w:jc w:val="both"/>
        <w:ind w:firstLine="3"/>
        <w:spacing w:after="0" w:line="275" w:lineRule="auto"/>
        <w:tabs>
          <w:tab w:leader="none" w:pos="193"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shall mean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w:t>
      </w:r>
    </w:p>
    <w:p>
      <w:pPr>
        <w:spacing w:after="0" w:line="13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16510</wp:posOffset>
            </wp:positionV>
            <wp:extent cx="716026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760"/>
          </w:cols>
          <w:pgMar w:left="820" w:top="576" w:right="319" w:bottom="1440" w:gutter="0" w:footer="0" w:header="0"/>
        </w:sectPr>
      </w:pPr>
    </w:p>
    <w:bookmarkStart w:id="179" w:name="page180"/>
    <w:bookmarkEnd w:id="179"/>
    <w:p>
      <w:pPr>
        <w:ind w:left="180" w:hanging="177"/>
        <w:spacing w:after="0"/>
        <w:tabs>
          <w:tab w:leader="none" w:pos="1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Act” shall mean the Securities Exchange Act of 1934, as amended from time to time, including rules thereunder and successor provisions and rules thereto.</w:t>
      </w:r>
    </w:p>
    <w:p>
      <w:pPr>
        <w:spacing w:after="0" w:line="183" w:lineRule="exact"/>
        <w:rPr>
          <w:rFonts w:ascii="Times New Roman" w:cs="Times New Roman" w:eastAsia="Times New Roman" w:hAnsi="Times New Roman"/>
          <w:sz w:val="14"/>
          <w:szCs w:val="14"/>
          <w:color w:val="auto"/>
        </w:rPr>
      </w:pPr>
    </w:p>
    <w:p>
      <w:pPr>
        <w:jc w:val="both"/>
        <w:ind w:firstLine="3"/>
        <w:spacing w:after="0" w:line="275" w:lineRule="auto"/>
        <w:tabs>
          <w:tab w:leader="none" w:pos="209"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Market Value” shall mean the fair market value of Shares, Awards or other property on the date as of which the value is being determined, as determined by the Committee, or under procedures established by the Committee, in a manner intended to satisfy the principles of Section 409A of the Code or Section 422 of the Code, to the extent applicable, subject to the following:</w:t>
      </w:r>
    </w:p>
    <w:p>
      <w:pPr>
        <w:spacing w:after="0" w:line="135" w:lineRule="exact"/>
        <w:rPr>
          <w:rFonts w:ascii="Times New Roman" w:cs="Times New Roman" w:eastAsia="Times New Roman" w:hAnsi="Times New Roman"/>
          <w:sz w:val="14"/>
          <w:szCs w:val="14"/>
          <w:color w:val="auto"/>
        </w:rPr>
      </w:pPr>
    </w:p>
    <w:p>
      <w:pPr>
        <w:jc w:val="both"/>
        <w:ind w:left="520" w:hanging="1"/>
        <w:spacing w:after="0" w:line="265" w:lineRule="auto"/>
        <w:tabs>
          <w:tab w:leader="none" w:pos="694"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on such date, the Shares are listed on an international, national or regional securities exchange or market system, the Fair Market Value of a Share shall be the closing price of a Share (or the mean of the closing bid and asked prices of a Share if the Share is so quoted instead) as quoted on the applicable exchange or system, as reported in The Wall Street Journal or such other source as the Company deems reliable. If the relevant date does not fall on a day on which the Share has traded on such exchange or system, the date on which the Fair Market Value shall be established shall be the last day on which the Share was so traded prior to the relevant date, or such other appropriate day as shall be determined by the Board, in its discretion.</w:t>
      </w:r>
    </w:p>
    <w:p>
      <w:pPr>
        <w:spacing w:after="0" w:line="144" w:lineRule="exact"/>
        <w:rPr>
          <w:rFonts w:ascii="Times New Roman" w:cs="Times New Roman" w:eastAsia="Times New Roman" w:hAnsi="Times New Roman"/>
          <w:sz w:val="14"/>
          <w:szCs w:val="14"/>
          <w:color w:val="auto"/>
        </w:rPr>
      </w:pPr>
    </w:p>
    <w:p>
      <w:pPr>
        <w:jc w:val="both"/>
        <w:ind w:left="520" w:hanging="1"/>
        <w:spacing w:after="0" w:line="275" w:lineRule="auto"/>
        <w:tabs>
          <w:tab w:leader="none" w:pos="737"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on such date, the Shares are not listed on an international, national or regional securities exchange or market system but is traded on an over-the-counter market, the Fair Market Value of a Share shall be the average of the closing bid and asked prices for Shares or, if no closing bid and asked prices, the last closing price, in such over-the-counter market for the last preceding date on which there was a sale of such Shares in such market.</w:t>
      </w:r>
    </w:p>
    <w:p>
      <w:pPr>
        <w:spacing w:after="0" w:line="135" w:lineRule="exact"/>
        <w:rPr>
          <w:rFonts w:ascii="Times New Roman" w:cs="Times New Roman" w:eastAsia="Times New Roman" w:hAnsi="Times New Roman"/>
          <w:sz w:val="14"/>
          <w:szCs w:val="14"/>
          <w:color w:val="auto"/>
        </w:rPr>
      </w:pPr>
    </w:p>
    <w:p>
      <w:pPr>
        <w:ind w:left="520" w:hanging="1"/>
        <w:spacing w:after="0" w:line="293" w:lineRule="auto"/>
        <w:tabs>
          <w:tab w:leader="none" w:pos="774"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on such date, the Shares are not listed on an international, national or regional securities exchange or market system and are not traded on an over-the-counter market, the Fair Market Value of a Share shall be as determined by the Board in good faith without regard to any restriction other than a restriction which, by its terms, will never lapse.</w:t>
      </w:r>
    </w:p>
    <w:p>
      <w:pPr>
        <w:spacing w:after="0" w:line="123" w:lineRule="exact"/>
        <w:rPr>
          <w:rFonts w:ascii="Times New Roman" w:cs="Times New Roman" w:eastAsia="Times New Roman" w:hAnsi="Times New Roman"/>
          <w:sz w:val="14"/>
          <w:szCs w:val="14"/>
          <w:color w:val="auto"/>
        </w:rPr>
      </w:pPr>
    </w:p>
    <w:p>
      <w:pPr>
        <w:ind w:firstLine="3"/>
        <w:spacing w:after="0" w:line="266" w:lineRule="auto"/>
        <w:tabs>
          <w:tab w:leader="none" w:pos="215"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“Incentive Stock Option” shall mean any Option intended to be designated as an incentive stock option within the meaning of Section 422 of the Code or any successor provision thereto.</w:t>
      </w:r>
    </w:p>
    <w:p>
      <w:pPr>
        <w:spacing w:after="0" w:line="338" w:lineRule="exact"/>
        <w:rPr>
          <w:rFonts w:ascii="Times New Roman" w:cs="Times New Roman" w:eastAsia="Times New Roman" w:hAnsi="Times New Roman"/>
          <w:sz w:val="14"/>
          <w:szCs w:val="14"/>
          <w:color w:val="auto"/>
        </w:rPr>
      </w:pPr>
    </w:p>
    <w:p>
      <w:pPr>
        <w:ind w:left="240" w:hanging="237"/>
        <w:spacing w:after="0"/>
        <w:tabs>
          <w:tab w:leader="none" w:pos="2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when referring to either the Board or members of the Committee, shall have the same meaning as used in the rules of the Listing Market.</w:t>
      </w:r>
    </w:p>
    <w:p>
      <w:pPr>
        <w:spacing w:after="0" w:line="183"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“Incumbent Board” shall mean the Incumbent Board as defined in Section 8(b)(ii) hereof.</w:t>
      </w:r>
    </w:p>
    <w:p>
      <w:pPr>
        <w:spacing w:after="0" w:line="183"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“IPO” shall mean an initial public offering of Shares underwritten on a firm commitment basis pursuant to a registration statement filed with the Securities Exchange Commission.</w:t>
      </w:r>
    </w:p>
    <w:p>
      <w:pPr>
        <w:spacing w:after="0" w:line="183" w:lineRule="exact"/>
        <w:rPr>
          <w:rFonts w:ascii="Times New Roman" w:cs="Times New Roman" w:eastAsia="Times New Roman" w:hAnsi="Times New Roman"/>
          <w:sz w:val="14"/>
          <w:szCs w:val="14"/>
          <w:color w:val="auto"/>
        </w:rPr>
      </w:pPr>
    </w:p>
    <w:p>
      <w:pPr>
        <w:ind w:firstLine="3"/>
        <w:spacing w:after="0" w:line="293" w:lineRule="auto"/>
        <w:tabs>
          <w:tab w:leader="none" w:pos="195"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“Listing Market” shall mean the international, national or regional securities exchange on which any securities of the Company are listed for trading, and if not listed for trading, by the rules of the Nasdaq Stock Market.</w:t>
      </w:r>
    </w:p>
    <w:p>
      <w:pPr>
        <w:spacing w:after="0" w:line="12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16510</wp:posOffset>
            </wp:positionV>
            <wp:extent cx="716026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760"/>
          </w:cols>
          <w:pgMar w:left="820" w:top="577" w:right="319" w:bottom="1440" w:gutter="0" w:footer="0" w:header="0"/>
        </w:sectPr>
      </w:pPr>
    </w:p>
    <w:bookmarkStart w:id="180" w:name="page181"/>
    <w:bookmarkEnd w:id="180"/>
    <w:p>
      <w:pPr>
        <w:ind w:left="260" w:hanging="257"/>
        <w:spacing w:after="0"/>
        <w:tabs>
          <w:tab w:leader="none" w:pos="2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shall mean a right granted to a Participant under Section 6(b) hereof, to purchase Shares or other Awards at a specified price during specified time periods.</w:t>
      </w:r>
    </w:p>
    <w:p>
      <w:pPr>
        <w:spacing w:after="0" w:line="183" w:lineRule="exact"/>
        <w:rPr>
          <w:rFonts w:ascii="Times New Roman" w:cs="Times New Roman" w:eastAsia="Times New Roman" w:hAnsi="Times New Roman"/>
          <w:sz w:val="14"/>
          <w:szCs w:val="14"/>
          <w:color w:val="auto"/>
        </w:rPr>
      </w:pPr>
    </w:p>
    <w:p>
      <w:pPr>
        <w:ind w:left="280" w:hanging="277"/>
        <w:spacing w:after="0"/>
        <w:tabs>
          <w:tab w:leader="none" w:pos="2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“Optionee” shall mean a person to whom an Option is granted under this Plan or any person who succeeds to the rights of such person under this Plan.</w:t>
      </w:r>
    </w:p>
    <w:p>
      <w:pPr>
        <w:spacing w:after="0" w:line="183"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Stock-Based Awards” shall mean Awards granted to a Participant under Section 6(i) hereof.</w:t>
      </w:r>
    </w:p>
    <w:p>
      <w:pPr>
        <w:spacing w:after="0" w:line="183" w:lineRule="exact"/>
        <w:rPr>
          <w:rFonts w:ascii="Times New Roman" w:cs="Times New Roman" w:eastAsia="Times New Roman" w:hAnsi="Times New Roman"/>
          <w:sz w:val="14"/>
          <w:szCs w:val="14"/>
          <w:color w:val="auto"/>
        </w:rPr>
      </w:pPr>
    </w:p>
    <w:p>
      <w:pPr>
        <w:ind w:firstLine="3"/>
        <w:spacing w:after="0" w:line="293" w:lineRule="auto"/>
        <w:tabs>
          <w:tab w:leader="none" w:pos="287"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shall mean any corporation (other than the Company), whether now or hereafter existing, in an unbroken chain of corporations ending with the Company, if each of the corporations in the chain (other than the Company) owns stock possessing 50% or more of the combined voting power of all classes of stock in one of the other corporations in the chain.</w:t>
      </w:r>
    </w:p>
    <w:p>
      <w:pPr>
        <w:spacing w:after="0" w:line="123"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 shall mean a person who has been granted an Award under the Plan which remains outstanding, including a person who is no longer an Eligible Person.</w:t>
      </w:r>
    </w:p>
    <w:p>
      <w:pPr>
        <w:spacing w:after="0" w:line="183" w:lineRule="exact"/>
        <w:rPr>
          <w:rFonts w:ascii="Times New Roman" w:cs="Times New Roman" w:eastAsia="Times New Roman" w:hAnsi="Times New Roman"/>
          <w:sz w:val="14"/>
          <w:szCs w:val="14"/>
          <w:color w:val="auto"/>
        </w:rPr>
      </w:pPr>
    </w:p>
    <w:p>
      <w:pPr>
        <w:ind w:left="220" w:hanging="217"/>
        <w:spacing w:after="0"/>
        <w:tabs>
          <w:tab w:leader="none" w:pos="2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Award” shall mean any Award granted pursuant to Section 6(h) hereof.</w:t>
      </w:r>
    </w:p>
    <w:p>
      <w:pPr>
        <w:spacing w:after="0" w:line="183" w:lineRule="exact"/>
        <w:rPr>
          <w:rFonts w:ascii="Times New Roman" w:cs="Times New Roman" w:eastAsia="Times New Roman" w:hAnsi="Times New Roman"/>
          <w:sz w:val="14"/>
          <w:szCs w:val="14"/>
          <w:color w:val="auto"/>
        </w:rPr>
      </w:pPr>
    </w:p>
    <w:p>
      <w:pPr>
        <w:ind w:firstLine="3"/>
        <w:spacing w:after="0" w:line="293" w:lineRule="auto"/>
        <w:tabs>
          <w:tab w:leader="none" w:pos="285"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Period” shall mean that period established by the Committee at the time any Performance Award is granted or at any time thereafter during which any performance goals specified by the Committee with respect to such Award are to be measured.</w:t>
      </w:r>
    </w:p>
    <w:p>
      <w:pPr>
        <w:spacing w:after="0" w:line="123" w:lineRule="exact"/>
        <w:rPr>
          <w:rFonts w:ascii="Times New Roman" w:cs="Times New Roman" w:eastAsia="Times New Roman" w:hAnsi="Times New Roman"/>
          <w:sz w:val="14"/>
          <w:szCs w:val="14"/>
          <w:color w:val="auto"/>
        </w:rPr>
      </w:pPr>
    </w:p>
    <w:p>
      <w:pPr>
        <w:ind w:firstLine="3"/>
        <w:spacing w:after="0" w:line="293" w:lineRule="auto"/>
        <w:tabs>
          <w:tab w:leader="none" w:pos="279"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 shall have the meaning ascribed to such term in Section 3(a)(9) of the Exchange Act and used in Sections 13(d) and 14(d) thereof and shall include a “group” as defined in Section 13(d) thereof.</w:t>
      </w:r>
    </w:p>
    <w:p>
      <w:pPr>
        <w:spacing w:after="0" w:line="123" w:lineRule="exact"/>
        <w:rPr>
          <w:rFonts w:ascii="Times New Roman" w:cs="Times New Roman" w:eastAsia="Times New Roman" w:hAnsi="Times New Roman"/>
          <w:sz w:val="14"/>
          <w:szCs w:val="14"/>
          <w:color w:val="auto"/>
        </w:rPr>
      </w:pPr>
    </w:p>
    <w:p>
      <w:pPr>
        <w:ind w:firstLine="3"/>
        <w:spacing w:after="0" w:line="293" w:lineRule="auto"/>
        <w:tabs>
          <w:tab w:leader="none" w:pos="218"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Plan” means collectively, the Mobix Labs, Inc. 2022 Incentive Compensation Plan, the Mobix Labs, Inc. 2020 Key Employee Equity Incentive Plan and the Mobix Labs, Inc. 2020 Equity Incentive Plan, as they may have been amended, supplemented or modified from time to time.</w:t>
      </w:r>
    </w:p>
    <w:p>
      <w:pPr>
        <w:spacing w:after="0" w:line="123" w:lineRule="exact"/>
        <w:rPr>
          <w:rFonts w:ascii="Times New Roman" w:cs="Times New Roman" w:eastAsia="Times New Roman" w:hAnsi="Times New Roman"/>
          <w:sz w:val="14"/>
          <w:szCs w:val="14"/>
          <w:color w:val="auto"/>
        </w:rPr>
      </w:pPr>
    </w:p>
    <w:p>
      <w:pPr>
        <w:jc w:val="both"/>
        <w:ind w:firstLine="3"/>
        <w:spacing w:after="0" w:line="268" w:lineRule="auto"/>
        <w:tabs>
          <w:tab w:leader="none" w:pos="218"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Entity” shall mean any Parent or Subsidiary, and any business, corporation, partnership, limited liability company or other entity designated by the Committee in which the Company, a Parent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w:t>
      </w:r>
    </w:p>
    <w:p>
      <w:pPr>
        <w:spacing w:after="0" w:line="141" w:lineRule="exact"/>
        <w:rPr>
          <w:rFonts w:ascii="Times New Roman" w:cs="Times New Roman" w:eastAsia="Times New Roman" w:hAnsi="Times New Roman"/>
          <w:sz w:val="14"/>
          <w:szCs w:val="14"/>
          <w:color w:val="auto"/>
        </w:rPr>
      </w:pPr>
    </w:p>
    <w:p>
      <w:pPr>
        <w:jc w:val="both"/>
        <w:ind w:firstLine="3"/>
        <w:spacing w:after="0" w:line="275" w:lineRule="auto"/>
        <w:tabs>
          <w:tab w:leader="none" w:pos="281"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shall mean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35" w:lineRule="exact"/>
        <w:rPr>
          <w:rFonts w:ascii="Times New Roman" w:cs="Times New Roman" w:eastAsia="Times New Roman" w:hAnsi="Times New Roman"/>
          <w:sz w:val="14"/>
          <w:szCs w:val="14"/>
          <w:color w:val="auto"/>
        </w:rPr>
      </w:pPr>
    </w:p>
    <w:p>
      <w:pPr>
        <w:ind w:left="220" w:hanging="217"/>
        <w:spacing w:after="0"/>
        <w:tabs>
          <w:tab w:leader="none" w:pos="2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Award” shall mean an Award granted to a Participant under Section 6(d) hereof.</w:t>
      </w:r>
    </w:p>
    <w:p>
      <w:pPr>
        <w:spacing w:after="0" w:line="18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16510</wp:posOffset>
            </wp:positionV>
            <wp:extent cx="716026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760"/>
          </w:cols>
          <w:pgMar w:left="820" w:top="577" w:right="319" w:bottom="1440" w:gutter="0" w:footer="0" w:header="0"/>
        </w:sectPr>
      </w:pPr>
    </w:p>
    <w:bookmarkStart w:id="181" w:name="page182"/>
    <w:bookmarkEnd w:id="181"/>
    <w:p>
      <w:pPr>
        <w:ind w:left="520" w:firstLine="3"/>
        <w:spacing w:after="0" w:line="293" w:lineRule="auto"/>
        <w:tabs>
          <w:tab w:leader="none" w:pos="883"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shall mean a right to receive Shares, including Restricted Stock, cash measured based upon the value of Shares, or a combination thereof, at the end of a specified deferral period.</w:t>
      </w:r>
    </w:p>
    <w:p>
      <w:pPr>
        <w:spacing w:after="0" w:line="123" w:lineRule="exact"/>
        <w:rPr>
          <w:rFonts w:ascii="Times New Roman" w:cs="Times New Roman" w:eastAsia="Times New Roman" w:hAnsi="Times New Roman"/>
          <w:sz w:val="14"/>
          <w:szCs w:val="14"/>
          <w:color w:val="auto"/>
        </w:rPr>
      </w:pPr>
    </w:p>
    <w:p>
      <w:pPr>
        <w:ind w:left="800" w:hanging="277"/>
        <w:spacing w:after="0"/>
        <w:tabs>
          <w:tab w:leader="none" w:pos="80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shall mean an Award of Restricted Stock Units granted to a Participant under Section 6(e) hereof.</w:t>
      </w:r>
    </w:p>
    <w:p>
      <w:pPr>
        <w:spacing w:after="0" w:line="183" w:lineRule="exact"/>
        <w:rPr>
          <w:rFonts w:ascii="Times New Roman" w:cs="Times New Roman" w:eastAsia="Times New Roman" w:hAnsi="Times New Roman"/>
          <w:sz w:val="14"/>
          <w:szCs w:val="14"/>
          <w:color w:val="auto"/>
        </w:rPr>
      </w:pPr>
    </w:p>
    <w:p>
      <w:pPr>
        <w:ind w:left="520" w:firstLine="3"/>
        <w:spacing w:after="0" w:line="293" w:lineRule="auto"/>
        <w:tabs>
          <w:tab w:leader="none" w:pos="803"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 Period” shall mean the period of time specified by the Committee that Restricted Stock Awards shall be subject to such restrictions on transferability, risk of forfeiture and other restrictions, if any, as the Committee may impose.</w:t>
      </w:r>
    </w:p>
    <w:p>
      <w:pPr>
        <w:spacing w:after="0" w:line="123" w:lineRule="exact"/>
        <w:rPr>
          <w:rFonts w:ascii="Times New Roman" w:cs="Times New Roman" w:eastAsia="Times New Roman" w:hAnsi="Times New Roman"/>
          <w:sz w:val="14"/>
          <w:szCs w:val="14"/>
          <w:color w:val="auto"/>
        </w:rPr>
      </w:pPr>
    </w:p>
    <w:p>
      <w:pPr>
        <w:ind w:left="520" w:firstLine="3"/>
        <w:spacing w:after="0" w:line="293" w:lineRule="auto"/>
        <w:tabs>
          <w:tab w:leader="none" w:pos="809"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 16b-3” shall mean Rule 16b-3, as from time to time in effect and applicable to the Plan and Participants, promulgated by the Securities and Exchange Commission under Section 16 of the Exchange Act.</w:t>
      </w:r>
    </w:p>
    <w:p>
      <w:pPr>
        <w:spacing w:after="0" w:line="123" w:lineRule="exact"/>
        <w:rPr>
          <w:rFonts w:ascii="Times New Roman" w:cs="Times New Roman" w:eastAsia="Times New Roman" w:hAnsi="Times New Roman"/>
          <w:sz w:val="14"/>
          <w:szCs w:val="14"/>
          <w:color w:val="auto"/>
        </w:rPr>
      </w:pPr>
    </w:p>
    <w:p>
      <w:pPr>
        <w:ind w:left="520" w:firstLine="3"/>
        <w:spacing w:after="0" w:line="266" w:lineRule="auto"/>
        <w:tabs>
          <w:tab w:leader="none" w:pos="809"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shall mean the shares of Class A Common Stock of the Company and such other securities as may be substituted (or resubstituted) for Shares pursuant to Section 9(c) hereof.</w:t>
      </w:r>
    </w:p>
    <w:p>
      <w:pPr>
        <w:spacing w:after="0" w:line="338" w:lineRule="exact"/>
        <w:rPr>
          <w:rFonts w:ascii="Times New Roman" w:cs="Times New Roman" w:eastAsia="Times New Roman" w:hAnsi="Times New Roman"/>
          <w:sz w:val="14"/>
          <w:szCs w:val="14"/>
          <w:color w:val="auto"/>
        </w:rPr>
      </w:pPr>
    </w:p>
    <w:p>
      <w:pPr>
        <w:ind w:left="740" w:hanging="217"/>
        <w:spacing w:after="0"/>
        <w:tabs>
          <w:tab w:leader="none" w:pos="74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“SPAC Option” shall have the same meaning as set forth in the BCA.</w:t>
      </w:r>
    </w:p>
    <w:p>
      <w:pPr>
        <w:spacing w:after="0" w:line="183" w:lineRule="exact"/>
        <w:rPr>
          <w:rFonts w:ascii="Times New Roman" w:cs="Times New Roman" w:eastAsia="Times New Roman" w:hAnsi="Times New Roman"/>
          <w:sz w:val="14"/>
          <w:szCs w:val="14"/>
          <w:color w:val="auto"/>
        </w:rPr>
      </w:pPr>
    </w:p>
    <w:p>
      <w:pPr>
        <w:ind w:left="760" w:hanging="237"/>
        <w:spacing w:after="0"/>
        <w:tabs>
          <w:tab w:leader="none" w:pos="76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“SPAC RSU” shall have the same meaning as set forth in the BCA.</w:t>
      </w:r>
    </w:p>
    <w:p>
      <w:pPr>
        <w:spacing w:after="0" w:line="183" w:lineRule="exact"/>
        <w:rPr>
          <w:rFonts w:ascii="Times New Roman" w:cs="Times New Roman" w:eastAsia="Times New Roman" w:hAnsi="Times New Roman"/>
          <w:sz w:val="14"/>
          <w:szCs w:val="14"/>
          <w:color w:val="auto"/>
        </w:rPr>
      </w:pPr>
    </w:p>
    <w:p>
      <w:pPr>
        <w:ind w:left="740" w:hanging="217"/>
        <w:spacing w:after="0"/>
        <w:tabs>
          <w:tab w:leader="none" w:pos="74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Appreciation Right” shall mean a right granted to a Participant under Section 6(c) hereof.</w:t>
      </w:r>
    </w:p>
    <w:p>
      <w:pPr>
        <w:spacing w:after="0" w:line="183" w:lineRule="exact"/>
        <w:rPr>
          <w:rFonts w:ascii="Times New Roman" w:cs="Times New Roman" w:eastAsia="Times New Roman" w:hAnsi="Times New Roman"/>
          <w:sz w:val="14"/>
          <w:szCs w:val="14"/>
          <w:color w:val="auto"/>
        </w:rPr>
      </w:pPr>
    </w:p>
    <w:p>
      <w:pPr>
        <w:jc w:val="both"/>
        <w:ind w:left="520" w:firstLine="3"/>
        <w:spacing w:after="0" w:line="275" w:lineRule="auto"/>
        <w:tabs>
          <w:tab w:leader="none" w:pos="801"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“Subsidiary” shall mean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35" w:lineRule="exact"/>
        <w:rPr>
          <w:rFonts w:ascii="Times New Roman" w:cs="Times New Roman" w:eastAsia="Times New Roman" w:hAnsi="Times New Roman"/>
          <w:sz w:val="14"/>
          <w:szCs w:val="14"/>
          <w:color w:val="auto"/>
        </w:rPr>
      </w:pPr>
    </w:p>
    <w:p>
      <w:pPr>
        <w:jc w:val="both"/>
        <w:ind w:left="520" w:firstLine="3"/>
        <w:spacing w:after="0" w:line="275" w:lineRule="auto"/>
        <w:tabs>
          <w:tab w:leader="none" w:pos="807"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“Substitute Awards” shall mean Awards granted or Shares issued by the Company in assumption of, or in substitution or exchange for, Awards previously granted, or the right or obligation to make future Awards, by a company (i) acquired by the Company or any Related Entity, (ii) which becomes a Related Entity after the date hereof, or (iii) with which the Company or any Related Entity combines.</w:t>
      </w:r>
    </w:p>
    <w:p>
      <w:pPr>
        <w:spacing w:after="0" w:line="133" w:lineRule="exact"/>
        <w:rPr>
          <w:rFonts w:ascii="Times New Roman" w:cs="Times New Roman" w:eastAsia="Times New Roman" w:hAnsi="Times New Roman"/>
          <w:sz w:val="14"/>
          <w:szCs w:val="14"/>
          <w:color w:val="auto"/>
        </w:rPr>
      </w:pPr>
    </w:p>
    <w:p>
      <w:pPr>
        <w:ind w:left="140" w:hanging="134"/>
        <w:spacing w:after="0"/>
        <w:tabs>
          <w:tab w:leader="none" w:pos="140" w:val="left"/>
        </w:tabs>
        <w:numPr>
          <w:ilvl w:val="0"/>
          <w:numId w:val="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Administration.</w:t>
      </w:r>
    </w:p>
    <w:p>
      <w:pPr>
        <w:spacing w:after="0" w:line="185" w:lineRule="exact"/>
        <w:rPr>
          <w:rFonts w:ascii="Times New Roman" w:cs="Times New Roman" w:eastAsia="Times New Roman" w:hAnsi="Times New Roman"/>
          <w:sz w:val="14"/>
          <w:szCs w:val="14"/>
          <w:b w:val="1"/>
          <w:bCs w:val="1"/>
          <w:color w:val="auto"/>
        </w:rPr>
      </w:pPr>
    </w:p>
    <w:p>
      <w:pPr>
        <w:jc w:val="both"/>
        <w:ind w:left="520" w:firstLine="3"/>
        <w:spacing w:after="0" w:line="260" w:lineRule="auto"/>
        <w:tabs>
          <w:tab w:leader="none" w:pos="713"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Authority of the Committee. The Plan shall be administered by the Committee except to the extent (and subject to the limitations imposed by Section 3(b) hereof) the Board elects to administer the Plan, in which case the Plan shall be administered by only those members of the Board who are Independent members of the Board,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any other Eligible Persons or Participants. Decisions of the Committee shall be final, conclusive and binding on all persons or entities, including the Company, any Related Entity or any Participant or Beneficiary, or any transferee under Section 9(b) hereof or any other person claiming rights from or through any of the foregoing persons or entities.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182" w:name="page183"/>
    <w:bookmarkEnd w:id="182"/>
    <w:p>
      <w:pPr>
        <w:jc w:val="both"/>
        <w:ind w:firstLine="3"/>
        <w:spacing w:after="0" w:line="260" w:lineRule="auto"/>
        <w:tabs>
          <w:tab w:leader="none" w:pos="203"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Manner of Exercise of Committee Authority.</w:t>
      </w:r>
      <w:r>
        <w:rPr>
          <w:rFonts w:ascii="Times New Roman" w:cs="Times New Roman" w:eastAsia="Times New Roman" w:hAnsi="Times New Roman"/>
          <w:sz w:val="14"/>
          <w:szCs w:val="14"/>
          <w:color w:val="auto"/>
        </w:rPr>
        <w:t xml:space="preserve"> The Committee, and not the Board, shall exercise sole and exclusive discretion (i) on any matter relating to a Participant then subject to Section 16 of the Exchange Act with respect to the Company to the extent necessary in order that transactions by such Participant shall be exempt under Rule 16b-3 under the Exchange Act, and (ii) with respect to any Award to an Independent Director.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The Committee may appoint agents to assist it in administering the Plan, including, without limitation, appointing one or more members of the Company’s management, with the power or authority otherwise granted to the Committee under this Plan with respect to a number of Shares reserved and available for delivery under the Plan, subject to the terms and limitations of such power or authority as determined by the Committee in its sole and absolute discretion. In no event, however, may an agent appointed by the Committee to assist it in administering the Plan be permitted to grant Awards to, or exercise any discretion with respect to any and all other matters relating to Awards previously granted to, such agent appointed by the Committee to assist it in administering the Plan.</w:t>
      </w:r>
    </w:p>
    <w:p>
      <w:pPr>
        <w:spacing w:after="0" w:line="147" w:lineRule="exact"/>
        <w:rPr>
          <w:rFonts w:ascii="Times New Roman" w:cs="Times New Roman" w:eastAsia="Times New Roman" w:hAnsi="Times New Roman"/>
          <w:sz w:val="14"/>
          <w:szCs w:val="14"/>
          <w:color w:val="auto"/>
        </w:rPr>
      </w:pPr>
    </w:p>
    <w:p>
      <w:pPr>
        <w:jc w:val="both"/>
        <w:ind w:firstLine="3"/>
        <w:spacing w:after="0" w:line="268" w:lineRule="auto"/>
        <w:tabs>
          <w:tab w:leader="none" w:pos="195"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Limitation of Liability.</w:t>
      </w:r>
      <w:r>
        <w:rPr>
          <w:rFonts w:ascii="Times New Roman" w:cs="Times New Roman" w:eastAsia="Times New Roman" w:hAnsi="Times New Roman"/>
          <w:sz w:val="14"/>
          <w:szCs w:val="14"/>
          <w:color w:val="auto"/>
        </w:rPr>
        <w:t xml:space="preserve"> The Committee and the Board, and each member thereof, shall be entitled to, in good faith, rely or 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16510</wp:posOffset>
            </wp:positionV>
            <wp:extent cx="716026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760"/>
          </w:cols>
          <w:pgMar w:left="820" w:top="577" w:right="319" w:bottom="1440" w:gutter="0" w:footer="0" w:header="0"/>
        </w:sectPr>
      </w:pPr>
    </w:p>
    <w:bookmarkStart w:id="183" w:name="page184"/>
    <w:bookmarkEnd w:id="183"/>
    <w:p>
      <w:pPr>
        <w:ind w:left="140" w:hanging="134"/>
        <w:spacing w:after="0"/>
        <w:tabs>
          <w:tab w:leader="none" w:pos="140" w:val="left"/>
        </w:tabs>
        <w:numPr>
          <w:ilvl w:val="0"/>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Shares Subject to Plan.</w:t>
      </w:r>
    </w:p>
    <w:p>
      <w:pPr>
        <w:spacing w:after="0" w:line="185" w:lineRule="exact"/>
        <w:rPr>
          <w:rFonts w:ascii="Times New Roman" w:cs="Times New Roman" w:eastAsia="Times New Roman" w:hAnsi="Times New Roman"/>
          <w:sz w:val="14"/>
          <w:szCs w:val="14"/>
          <w:b w:val="1"/>
          <w:bCs w:val="1"/>
          <w:color w:val="auto"/>
        </w:rPr>
      </w:pPr>
    </w:p>
    <w:p>
      <w:pPr>
        <w:jc w:val="both"/>
        <w:ind w:left="520" w:firstLine="3"/>
        <w:spacing w:after="0" w:line="264" w:lineRule="auto"/>
        <w:tabs>
          <w:tab w:leader="none" w:pos="715"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Limitation on Overall Number of Shares Available for Delivery Under the Plan.</w:t>
      </w:r>
      <w:r>
        <w:rPr>
          <w:rFonts w:ascii="Times New Roman" w:cs="Times New Roman" w:eastAsia="Times New Roman" w:hAnsi="Times New Roman"/>
          <w:sz w:val="14"/>
          <w:szCs w:val="14"/>
          <w:color w:val="auto"/>
        </w:rPr>
        <w:t xml:space="preserve"> Subject to adjustment as provided in Section 9(c) hereof, the aggregate number of Shares that may be issued under all Awards under the Plan shall be equal to 5,000,000, plus any unissued Shares subject to any SPAC Option and any SPAC RSU that is canceled, forfeited or otherwise expires (the “Share Pool”). In addition, the Share Pool will automatically increase on January 1st of each year for a period of up to ten years, commencing on the first January 1 following the Effective Date and ending on (and including) January 1, 2032, in an amount equal to the lesser of (i) five percent (5%) of the total number of shares of Class A Common Stock and Class B Common Stock outstanding on such January 1 or (ii) such smaller number of Shares as is determined by the Board. Any Shares delivered under the Plan may consist, in whole or in part, of authorized and unissued shares or treasury shares.</w:t>
      </w:r>
    </w:p>
    <w:p>
      <w:pPr>
        <w:spacing w:after="0" w:line="142" w:lineRule="exact"/>
        <w:rPr>
          <w:rFonts w:ascii="Times New Roman" w:cs="Times New Roman" w:eastAsia="Times New Roman" w:hAnsi="Times New Roman"/>
          <w:sz w:val="14"/>
          <w:szCs w:val="14"/>
          <w:color w:val="auto"/>
        </w:rPr>
      </w:pPr>
    </w:p>
    <w:p>
      <w:pPr>
        <w:jc w:val="both"/>
        <w:ind w:left="520" w:firstLine="3"/>
        <w:spacing w:after="0" w:line="268" w:lineRule="auto"/>
        <w:tabs>
          <w:tab w:leader="none" w:pos="723"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Application of Limitation to Grants of Awards.</w:t>
      </w:r>
      <w:r>
        <w:rPr>
          <w:rFonts w:ascii="Times New Roman" w:cs="Times New Roman" w:eastAsia="Times New Roman" w:hAnsi="Times New Roman"/>
          <w:sz w:val="14"/>
          <w:szCs w:val="14"/>
          <w:color w:val="auto"/>
        </w:rPr>
        <w:t xml:space="preserve"> No Award may be granted if the number of Shares to be delivered in connection with such an Award exceeds the number of Shares remaining available for delivery under the Plan, minus the number of Shares that would be counted against the limit upon settlement of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41" w:lineRule="exact"/>
        <w:rPr>
          <w:rFonts w:ascii="Times New Roman" w:cs="Times New Roman" w:eastAsia="Times New Roman" w:hAnsi="Times New Roman"/>
          <w:sz w:val="14"/>
          <w:szCs w:val="14"/>
          <w:color w:val="auto"/>
        </w:rPr>
      </w:pPr>
    </w:p>
    <w:p>
      <w:pPr>
        <w:ind w:left="720" w:hanging="197"/>
        <w:spacing w:after="0"/>
        <w:tabs>
          <w:tab w:leader="none" w:pos="72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Availability of Shares Not Delivered under Awards and Adjustments to Limits.</w:t>
      </w:r>
    </w:p>
    <w:p>
      <w:pPr>
        <w:spacing w:after="0" w:line="183" w:lineRule="exact"/>
        <w:rPr>
          <w:rFonts w:ascii="Times New Roman" w:cs="Times New Roman" w:eastAsia="Times New Roman" w:hAnsi="Times New Roman"/>
          <w:sz w:val="14"/>
          <w:szCs w:val="14"/>
          <w:color w:val="auto"/>
        </w:rPr>
      </w:pPr>
    </w:p>
    <w:p>
      <w:pPr>
        <w:jc w:val="both"/>
        <w:ind w:left="1040" w:hanging="1"/>
        <w:spacing w:after="0" w:line="275" w:lineRule="auto"/>
        <w:tabs>
          <w:tab w:leader="none" w:pos="1215" w:val="left"/>
        </w:tabs>
        <w:numPr>
          <w:ilvl w:val="2"/>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Shares subject to an Award are forfeited, expire or otherwise terminate without issuance of such Shares, or any Award is settled for cash or otherwise does not result in the issuance of all or a portion of the Shares subject to such Award, the Shares to which those Awards were subject, shall, to the extent of such forfeiture, expiration, termination, non-issuance or cash settlement, be added back to the Share Pool and again be available for delivery with respect to Awards under the Plan.</w:t>
      </w:r>
    </w:p>
    <w:p>
      <w:pPr>
        <w:spacing w:after="0" w:line="135" w:lineRule="exact"/>
        <w:rPr>
          <w:rFonts w:ascii="Times New Roman" w:cs="Times New Roman" w:eastAsia="Times New Roman" w:hAnsi="Times New Roman"/>
          <w:sz w:val="14"/>
          <w:szCs w:val="14"/>
          <w:color w:val="auto"/>
        </w:rPr>
      </w:pPr>
    </w:p>
    <w:p>
      <w:pPr>
        <w:ind w:left="1040" w:hanging="1"/>
        <w:spacing w:after="0" w:line="293" w:lineRule="auto"/>
        <w:tabs>
          <w:tab w:leader="none" w:pos="1269" w:val="left"/>
        </w:tabs>
        <w:numPr>
          <w:ilvl w:val="2"/>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withheld from an Award to satisfy either (i) the exercise price or purchase price of such Award, or (ii) any tax withholding requirements shall count against the maximum number of Shares remaining available for issuance pursuant to Awards granted under the Plan and, for the avoidance of doubt, shall be added back to the Share Pool.</w:t>
      </w:r>
    </w:p>
    <w:p>
      <w:pPr>
        <w:spacing w:after="0" w:line="123" w:lineRule="exact"/>
        <w:rPr>
          <w:rFonts w:ascii="Times New Roman" w:cs="Times New Roman" w:eastAsia="Times New Roman" w:hAnsi="Times New Roman"/>
          <w:sz w:val="14"/>
          <w:szCs w:val="14"/>
          <w:color w:val="auto"/>
        </w:rPr>
      </w:pPr>
    </w:p>
    <w:p>
      <w:pPr>
        <w:jc w:val="both"/>
        <w:ind w:left="1040" w:hanging="1"/>
        <w:spacing w:after="0" w:line="260" w:lineRule="auto"/>
        <w:tabs>
          <w:tab w:leader="none" w:pos="1291" w:val="left"/>
        </w:tabs>
        <w:numPr>
          <w:ilvl w:val="2"/>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Substitute Awards shall not reduce the Shares authorized for delivery under the Plan or authorized for delivery to a Participant in any period; provided, that Substitute Awards issued in connection with the assumption of, or in substitution for, outstanding Incentive Stock Options shall be counted against the aggregate number of Shares available for Awards of Incentive Stock Options under the Plan pursuant to Section 4(c)(v) herein. Additionally, in the event that an entity acquired by the Company or any Related Entity or with which the Company or any Related Entity combines has shares available under a pre-existing plan approved by its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84" w:name="page185"/>
    <w:bookmarkEnd w:id="184"/>
    <w:p>
      <w:pPr>
        <w:ind w:left="1280" w:hanging="241"/>
        <w:spacing w:after="0"/>
        <w:tabs>
          <w:tab w:leader="none" w:pos="1280" w:val="left"/>
        </w:tabs>
        <w:numPr>
          <w:ilvl w:val="2"/>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 that again becomes available for delivery pursuant to this Section 4(c) shall be added back as one (1) Share.</w:t>
      </w:r>
    </w:p>
    <w:p>
      <w:pPr>
        <w:spacing w:after="0" w:line="183" w:lineRule="exact"/>
        <w:rPr>
          <w:rFonts w:ascii="Times New Roman" w:cs="Times New Roman" w:eastAsia="Times New Roman" w:hAnsi="Times New Roman"/>
          <w:sz w:val="14"/>
          <w:szCs w:val="14"/>
          <w:color w:val="auto"/>
        </w:rPr>
      </w:pPr>
    </w:p>
    <w:p>
      <w:pPr>
        <w:jc w:val="both"/>
        <w:ind w:left="1040" w:hanging="1"/>
        <w:spacing w:after="0" w:line="275" w:lineRule="auto"/>
        <w:tabs>
          <w:tab w:leader="none" w:pos="1245" w:val="left"/>
        </w:tabs>
        <w:numPr>
          <w:ilvl w:val="2"/>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Section 4(c) to the contrary but subject to adjustment as provided in Section 9(c) hereof, the maximum aggregate number of Shares that may be delivered under the Plan as a result of the exercise of the Incentive Stock Options shall be 5,000,000 Shares. In no event shall any Incentive Stock Options be granted under the Plan after the tenth anniversary of the date on which the Board adopts the Plan.</w:t>
      </w:r>
    </w:p>
    <w:p>
      <w:pPr>
        <w:spacing w:after="0" w:line="135" w:lineRule="exact"/>
        <w:rPr>
          <w:rFonts w:ascii="Times New Roman" w:cs="Times New Roman" w:eastAsia="Times New Roman" w:hAnsi="Times New Roman"/>
          <w:sz w:val="14"/>
          <w:szCs w:val="14"/>
          <w:color w:val="auto"/>
        </w:rPr>
      </w:pPr>
    </w:p>
    <w:p>
      <w:pPr>
        <w:jc w:val="both"/>
        <w:ind w:left="1040" w:hanging="1"/>
        <w:spacing w:after="0" w:line="275" w:lineRule="auto"/>
        <w:tabs>
          <w:tab w:leader="none" w:pos="1286" w:val="left"/>
        </w:tabs>
        <w:numPr>
          <w:ilvl w:val="2"/>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in this Section 4 to the contrary, but subject to adjustment as provided in Section 9(c)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exceeds $750,000 in the aggregate.</w:t>
      </w:r>
    </w:p>
    <w:p>
      <w:pPr>
        <w:spacing w:after="0" w:line="135" w:lineRule="exact"/>
        <w:rPr>
          <w:rFonts w:ascii="Times New Roman" w:cs="Times New Roman" w:eastAsia="Times New Roman" w:hAnsi="Times New Roman"/>
          <w:sz w:val="14"/>
          <w:szCs w:val="14"/>
          <w:color w:val="auto"/>
        </w:rPr>
      </w:pPr>
    </w:p>
    <w:p>
      <w:pPr>
        <w:ind w:left="720" w:hanging="197"/>
        <w:spacing w:after="0"/>
        <w:tabs>
          <w:tab w:leader="none" w:pos="720"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Further Awards Under Prior Plan.</w:t>
      </w:r>
      <w:r>
        <w:rPr>
          <w:rFonts w:ascii="Times New Roman" w:cs="Times New Roman" w:eastAsia="Times New Roman" w:hAnsi="Times New Roman"/>
          <w:sz w:val="14"/>
          <w:szCs w:val="14"/>
          <w:color w:val="auto"/>
        </w:rPr>
        <w:t xml:space="preserve"> In light of the adoption of this Plan, no further awards shall be made under the Prior Plan after the Effective Date.</w:t>
      </w:r>
    </w:p>
    <w:p>
      <w:pPr>
        <w:spacing w:after="0" w:line="181" w:lineRule="exact"/>
        <w:rPr>
          <w:rFonts w:ascii="Times New Roman" w:cs="Times New Roman" w:eastAsia="Times New Roman" w:hAnsi="Times New Roman"/>
          <w:sz w:val="14"/>
          <w:szCs w:val="14"/>
          <w:color w:val="auto"/>
        </w:rPr>
      </w:pPr>
    </w:p>
    <w:p>
      <w:pPr>
        <w:ind w:left="140" w:hanging="134"/>
        <w:spacing w:after="0"/>
        <w:tabs>
          <w:tab w:leader="none" w:pos="140"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Eligibility.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Awards may be granted under the Plan only to Eligible Persons.</w:t>
      </w:r>
    </w:p>
    <w:p>
      <w:pPr>
        <w:spacing w:after="0" w:line="181" w:lineRule="exact"/>
        <w:rPr>
          <w:sz w:val="20"/>
          <w:szCs w:val="20"/>
          <w:color w:val="auto"/>
        </w:rPr>
      </w:pPr>
    </w:p>
    <w:p>
      <w:pPr>
        <w:ind w:left="140" w:hanging="134"/>
        <w:spacing w:after="0"/>
        <w:tabs>
          <w:tab w:leader="none" w:pos="140" w:val="left"/>
        </w:tabs>
        <w:numPr>
          <w:ilvl w:val="0"/>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Specific Terms of Awards.</w:t>
      </w:r>
    </w:p>
    <w:p>
      <w:pPr>
        <w:spacing w:after="0" w:line="185" w:lineRule="exact"/>
        <w:rPr>
          <w:rFonts w:ascii="Times New Roman" w:cs="Times New Roman" w:eastAsia="Times New Roman" w:hAnsi="Times New Roman"/>
          <w:sz w:val="14"/>
          <w:szCs w:val="14"/>
          <w:b w:val="1"/>
          <w:bCs w:val="1"/>
          <w:color w:val="auto"/>
        </w:rPr>
      </w:pPr>
    </w:p>
    <w:p>
      <w:pPr>
        <w:jc w:val="both"/>
        <w:ind w:left="520" w:firstLine="3"/>
        <w:spacing w:after="0" w:line="264" w:lineRule="auto"/>
        <w:tabs>
          <w:tab w:leader="none" w:pos="715"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xml:space="preserve"> Awards may be granted on the terms and conditions set forth in this Section 6. In addition, the Committee may impose on any Award or the exercise thereof, at the date of grant or thereafter (subject to Section 9(f) hereof),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the laws of the State of Delaware, no consideration other than services may be required for the grant (as opposed to the exercise) of any Award.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185" w:name="page186"/>
    <w:bookmarkEnd w:id="185"/>
    <w:p>
      <w:pPr>
        <w:ind w:left="200" w:hanging="197"/>
        <w:spacing w:after="0"/>
        <w:tabs>
          <w:tab w:leader="none" w:pos="2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Options.</w:t>
      </w:r>
      <w:r>
        <w:rPr>
          <w:rFonts w:ascii="Times New Roman" w:cs="Times New Roman" w:eastAsia="Times New Roman" w:hAnsi="Times New Roman"/>
          <w:sz w:val="14"/>
          <w:szCs w:val="14"/>
          <w:color w:val="auto"/>
        </w:rPr>
        <w:t xml:space="preserve"> The Committee is authorized to grant Options to any Eligible Person on the following terms and conditions:</w:t>
      </w:r>
    </w:p>
    <w:p>
      <w:pPr>
        <w:spacing w:after="0" w:line="183" w:lineRule="exact"/>
        <w:rPr>
          <w:rFonts w:ascii="Times New Roman" w:cs="Times New Roman" w:eastAsia="Times New Roman" w:hAnsi="Times New Roman"/>
          <w:sz w:val="14"/>
          <w:szCs w:val="14"/>
          <w:color w:val="auto"/>
        </w:rPr>
      </w:pPr>
    </w:p>
    <w:p>
      <w:pPr>
        <w:jc w:val="both"/>
        <w:ind w:left="520" w:hanging="1"/>
        <w:spacing w:after="0" w:line="260" w:lineRule="auto"/>
        <w:tabs>
          <w:tab w:leader="none" w:pos="691"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xml:space="preserve"> Other than in connection with Substitute Awards, the exercise price per Share purchasable under 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of a Share on the date such Incentive Stock Option is granted. Other than pursuant to Section 9(c)(i) and (ii) of this Plan, the Committee shall not be permitted to (A) lower the exercise price per Share of an Option after it is granted, (B) cancel an Option when the exercise price per Share exceeds the Fair Market Value of the underlying Shares in exchange for cash or another Award (other than in connection with Substitute Awards), (C) cancel an outstanding Option in exchange for an Option with an exercise price that is less than the exercise price of the original Options or (D) take any other action with respect to an Option that may be treated as a repricing pursuant to the applicable rules of the Listing Market, without approval of the Company’s shareholders.</w:t>
      </w:r>
    </w:p>
    <w:p>
      <w:pPr>
        <w:spacing w:after="0" w:line="149" w:lineRule="exact"/>
        <w:rPr>
          <w:rFonts w:ascii="Times New Roman" w:cs="Times New Roman" w:eastAsia="Times New Roman" w:hAnsi="Times New Roman"/>
          <w:sz w:val="14"/>
          <w:szCs w:val="14"/>
          <w:color w:val="auto"/>
        </w:rPr>
      </w:pPr>
    </w:p>
    <w:p>
      <w:pPr>
        <w:jc w:val="both"/>
        <w:ind w:left="520" w:hanging="1"/>
        <w:spacing w:after="0" w:line="261" w:lineRule="auto"/>
        <w:tabs>
          <w:tab w:leader="none" w:pos="731"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Time and Method of Exercise.</w:t>
      </w:r>
      <w:r>
        <w:rPr>
          <w:rFonts w:ascii="Times New Roman" w:cs="Times New Roman" w:eastAsia="Times New Roman" w:hAnsi="Times New Roman"/>
          <w:sz w:val="14"/>
          <w:szCs w:val="14"/>
          <w:color w:val="auto"/>
        </w:rPr>
        <w:t xml:space="preserve"> The 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4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16510</wp:posOffset>
            </wp:positionV>
            <wp:extent cx="716026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760"/>
          </w:cols>
          <w:pgMar w:left="820" w:top="577" w:right="319" w:bottom="1440" w:gutter="0" w:footer="0" w:header="0"/>
        </w:sectPr>
      </w:pPr>
    </w:p>
    <w:bookmarkStart w:id="186" w:name="page187"/>
    <w:bookmarkEnd w:id="186"/>
    <w:p>
      <w:pPr>
        <w:ind w:left="1" w:hanging="1"/>
        <w:spacing w:after="0" w:line="293" w:lineRule="auto"/>
        <w:tabs>
          <w:tab w:leader="none" w:pos="252"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Form of Settlement.</w:t>
      </w:r>
      <w:r>
        <w:rPr>
          <w:rFonts w:ascii="Times New Roman" w:cs="Times New Roman" w:eastAsia="Times New Roman" w:hAnsi="Times New Roman"/>
          <w:sz w:val="14"/>
          <w:szCs w:val="14"/>
          <w:color w:val="auto"/>
        </w:rPr>
        <w:t xml:space="preserve"> The Committee may, in its sole discretion, provide that the Shares to be issued upon exercise of an Option shall be in the form of Restricted Stock or other similar securities.</w:t>
      </w:r>
    </w:p>
    <w:p>
      <w:pPr>
        <w:spacing w:after="0" w:line="123" w:lineRule="exact"/>
        <w:rPr>
          <w:rFonts w:ascii="Times New Roman" w:cs="Times New Roman" w:eastAsia="Times New Roman" w:hAnsi="Times New Roman"/>
          <w:sz w:val="14"/>
          <w:szCs w:val="14"/>
          <w:color w:val="auto"/>
        </w:rPr>
      </w:pPr>
    </w:p>
    <w:p>
      <w:pPr>
        <w:jc w:val="both"/>
        <w:ind w:left="1" w:hanging="1"/>
        <w:spacing w:after="0" w:line="260" w:lineRule="auto"/>
        <w:tabs>
          <w:tab w:leader="none" w:pos="244"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Incentive Stock Options.</w:t>
      </w:r>
      <w:r>
        <w:rPr>
          <w:rFonts w:ascii="Times New Roman" w:cs="Times New Roman" w:eastAsia="Times New Roman" w:hAnsi="Times New Roman"/>
          <w:sz w:val="14"/>
          <w:szCs w:val="14"/>
          <w:color w:val="auto"/>
        </w:rPr>
        <w:t xml:space="preserve"> The Committee shall only grant Incentive Stock Options if (y) with respect to the initial Share Pool set forth in Sections 4(a) and 4(c)(v), within 12 months of the Effective Date, and/or (z) with respect to any increase in the Share pools set forth in Sections 4(a) and 4(c)(v) by an amendment to this Plan, within 12 months of the effective date of any such amendment the Plan or amendment, whichever applicable, is approved by shareholders of the Company eligible to vote in the election of directors, by a vote sufficient to meet the requirements of Code Section 422, applicable requirements under the rules of any stock exchange or automated quotation system on which the Shares may be listed or quoted, and other laws, regulations, and obligations of the Company applicable to the Plan. Incentive Stock Options may be granted subject to shareholder approval but may not be exercised or otherwise settled in the event the shareholder approval is not obtained. The terms of any Incentive Stock Option granted under the Plan shall comply in all 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147" w:lineRule="exact"/>
        <w:rPr>
          <w:rFonts w:ascii="Times New Roman" w:cs="Times New Roman" w:eastAsia="Times New Roman" w:hAnsi="Times New Roman"/>
          <w:sz w:val="14"/>
          <w:szCs w:val="14"/>
          <w:color w:val="auto"/>
        </w:rPr>
      </w:pPr>
    </w:p>
    <w:p>
      <w:pPr>
        <w:jc w:val="both"/>
        <w:ind w:left="521" w:hanging="5"/>
        <w:spacing w:after="0" w:line="265" w:lineRule="auto"/>
        <w:tabs>
          <w:tab w:leader="none" w:pos="761"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w:t>
      </w:r>
    </w:p>
    <w:p>
      <w:pPr>
        <w:spacing w:after="0" w:line="144" w:lineRule="exact"/>
        <w:rPr>
          <w:rFonts w:ascii="Times New Roman" w:cs="Times New Roman" w:eastAsia="Times New Roman" w:hAnsi="Times New Roman"/>
          <w:sz w:val="14"/>
          <w:szCs w:val="14"/>
          <w:color w:val="auto"/>
        </w:rPr>
      </w:pPr>
    </w:p>
    <w:p>
      <w:pPr>
        <w:jc w:val="both"/>
        <w:ind w:left="521" w:hanging="5"/>
        <w:spacing w:after="0" w:line="268" w:lineRule="auto"/>
        <w:tabs>
          <w:tab w:leader="none" w:pos="765"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w:t>
      </w:r>
    </w:p>
    <w:p>
      <w:pPr>
        <w:spacing w:after="0" w:line="142" w:lineRule="exact"/>
        <w:rPr>
          <w:sz w:val="20"/>
          <w:szCs w:val="20"/>
          <w:color w:val="auto"/>
        </w:rPr>
      </w:pPr>
    </w:p>
    <w:p>
      <w:pPr>
        <w:ind w:left="4381"/>
        <w:spacing w:after="0"/>
        <w:rPr>
          <w:sz w:val="20"/>
          <w:szCs w:val="20"/>
          <w:color w:val="auto"/>
        </w:rPr>
      </w:pPr>
      <w:r>
        <w:rPr>
          <w:rFonts w:ascii="Times New Roman" w:cs="Times New Roman" w:eastAsia="Times New Roman" w:hAnsi="Times New Roman"/>
          <w:sz w:val="14"/>
          <w:szCs w:val="14"/>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16510</wp:posOffset>
            </wp:positionV>
            <wp:extent cx="716026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241"/>
          </w:cols>
          <w:pgMar w:left="1339" w:top="577" w:right="319" w:bottom="1440" w:gutter="0" w:footer="0" w:header="0"/>
        </w:sectPr>
      </w:pPr>
    </w:p>
    <w:bookmarkStart w:id="187" w:name="page188"/>
    <w:bookmarkEnd w:id="187"/>
    <w:p>
      <w:pPr>
        <w:jc w:val="both"/>
        <w:ind w:left="1040" w:hanging="5"/>
        <w:spacing w:after="0" w:line="275" w:lineRule="auto"/>
        <w:tabs>
          <w:tab w:leader="none" w:pos="1276" w:val="left"/>
        </w:tabs>
        <w:numPr>
          <w:ilvl w:val="2"/>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Shares acquired by exercise of an Incentive Stock Option are disposed of within two years 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spacing w:after="0" w:line="135" w:lineRule="exact"/>
        <w:rPr>
          <w:rFonts w:ascii="Times New Roman" w:cs="Times New Roman" w:eastAsia="Times New Roman" w:hAnsi="Times New Roman"/>
          <w:sz w:val="14"/>
          <w:szCs w:val="14"/>
          <w:color w:val="auto"/>
        </w:rPr>
      </w:pPr>
    </w:p>
    <w:p>
      <w:pPr>
        <w:jc w:val="both"/>
        <w:ind w:firstLine="3"/>
        <w:spacing w:after="0" w:line="275" w:lineRule="auto"/>
        <w:tabs>
          <w:tab w:leader="none" w:pos="195"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Appreciation Rights.</w:t>
      </w:r>
      <w:r>
        <w:rPr>
          <w:rFonts w:ascii="Times New Roman" w:cs="Times New Roman" w:eastAsia="Times New Roman" w:hAnsi="Times New Roman"/>
          <w:sz w:val="14"/>
          <w:szCs w:val="14"/>
          <w:color w:val="auto"/>
        </w:rPr>
        <w:t xml:space="preserve"> The Committee may grant Stock Appreciation Rights to any Eligible Person in conjunction with all or part of any 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135" w:lineRule="exact"/>
        <w:rPr>
          <w:rFonts w:ascii="Times New Roman" w:cs="Times New Roman" w:eastAsia="Times New Roman" w:hAnsi="Times New Roman"/>
          <w:sz w:val="14"/>
          <w:szCs w:val="14"/>
          <w:color w:val="auto"/>
        </w:rPr>
      </w:pPr>
    </w:p>
    <w:p>
      <w:pPr>
        <w:jc w:val="both"/>
        <w:ind w:left="520" w:hanging="1"/>
        <w:spacing w:after="0" w:line="261" w:lineRule="auto"/>
        <w:tabs>
          <w:tab w:leader="none" w:pos="691"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Right to Payment.</w:t>
      </w:r>
      <w:r>
        <w:rPr>
          <w:rFonts w:ascii="Times New Roman" w:cs="Times New Roman" w:eastAsia="Times New Roman" w:hAnsi="Times New Roman"/>
          <w:sz w:val="14"/>
          <w:szCs w:val="14"/>
          <w:color w:val="auto"/>
        </w:rPr>
        <w:t xml:space="preserve"> A Stock Appreciation Right shall confer on the Participant to whom it is granted a right to receive, upon exercise 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9(c)(i) and (ii) of the Plan, the Committee shall not be permitted to (A) lower the grant price per Share of a Stock Appreciation Right after it is granted, (B) cancel a Stock Appreciation Right when the grant price per Share exceeds the Fair Market Value of the underlying Shares in exchange for another Award (other than in connection with Substitute Awards), (C) cancel an outstanding Stock Appreciation Right in exchange for a Stock Appreciation Right with a grant price that is less than the grant price of the original Stock Appreciation Right, or (D) take any other action with respect to a Stock Appreciation Right that may be treated as a repricing pursuant to the applicable rules of the Listing Market, without shareholder approval.</w:t>
      </w:r>
    </w:p>
    <w:p>
      <w:pPr>
        <w:spacing w:after="0" w:line="148" w:lineRule="exact"/>
        <w:rPr>
          <w:rFonts w:ascii="Times New Roman" w:cs="Times New Roman" w:eastAsia="Times New Roman" w:hAnsi="Times New Roman"/>
          <w:sz w:val="14"/>
          <w:szCs w:val="14"/>
          <w:color w:val="auto"/>
        </w:rPr>
      </w:pPr>
    </w:p>
    <w:p>
      <w:pPr>
        <w:jc w:val="both"/>
        <w:ind w:left="520" w:hanging="1"/>
        <w:spacing w:after="0" w:line="265" w:lineRule="auto"/>
        <w:tabs>
          <w:tab w:leader="none" w:pos="731"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Terms.</w:t>
      </w:r>
      <w:r>
        <w:rPr>
          <w:rFonts w:ascii="Times New Roman" w:cs="Times New Roman" w:eastAsia="Times New Roman" w:hAnsi="Times New Roman"/>
          <w:sz w:val="14"/>
          <w:szCs w:val="14"/>
          <w:color w:val="auto"/>
        </w:rPr>
        <w:t xml:space="preserve"> The 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16510</wp:posOffset>
            </wp:positionV>
            <wp:extent cx="716026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760"/>
          </w:cols>
          <w:pgMar w:left="820" w:top="577" w:right="319" w:bottom="1440" w:gutter="0" w:footer="0" w:header="0"/>
        </w:sectPr>
      </w:pPr>
    </w:p>
    <w:bookmarkStart w:id="188" w:name="page189"/>
    <w:bookmarkEnd w:id="188"/>
    <w:p>
      <w:pPr>
        <w:jc w:val="both"/>
        <w:ind w:left="520" w:hanging="1"/>
        <w:spacing w:after="0" w:line="262" w:lineRule="auto"/>
        <w:tabs>
          <w:tab w:leader="none" w:pos="782"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Tandem Stock Appreciation Rights.</w:t>
      </w:r>
      <w:r>
        <w:rPr>
          <w:rFonts w:ascii="Times New Roman" w:cs="Times New Roman" w:eastAsia="Times New Roman" w:hAnsi="Times New Roman"/>
          <w:sz w:val="14"/>
          <w:szCs w:val="14"/>
          <w:color w:val="auto"/>
        </w:rPr>
        <w:t xml:space="preserve"> Any Tandem Stock Appreciation Right may be granted at the same time as the related Option is 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319"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Restricted Stock Awards.</w:t>
      </w:r>
      <w:r>
        <w:rPr>
          <w:rFonts w:ascii="Times New Roman" w:cs="Times New Roman" w:eastAsia="Times New Roman" w:hAnsi="Times New Roman"/>
          <w:sz w:val="14"/>
          <w:szCs w:val="14"/>
          <w:color w:val="auto"/>
        </w:rPr>
        <w:t xml:space="preserve"> The Committee is authorized to grant Restricted Stock Awards to any Eligible Person on the following terms and conditions:</w:t>
      </w:r>
    </w:p>
    <w:p>
      <w:pPr>
        <w:spacing w:after="0" w:line="183" w:lineRule="exact"/>
        <w:rPr>
          <w:rFonts w:ascii="Times New Roman" w:cs="Times New Roman" w:eastAsia="Times New Roman" w:hAnsi="Times New Roman"/>
          <w:sz w:val="14"/>
          <w:szCs w:val="14"/>
          <w:color w:val="auto"/>
        </w:rPr>
      </w:pPr>
    </w:p>
    <w:p>
      <w:pPr>
        <w:jc w:val="both"/>
        <w:ind w:left="520" w:hanging="1"/>
        <w:spacing w:after="0" w:line="261" w:lineRule="auto"/>
        <w:tabs>
          <w:tab w:leader="none" w:pos="691"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Grant and Restrictions.</w:t>
      </w:r>
      <w:r>
        <w:rPr>
          <w:rFonts w:ascii="Times New Roman" w:cs="Times New Roman" w:eastAsia="Times New Roman" w:hAnsi="Times New Roman"/>
          <w:sz w:val="14"/>
          <w:szCs w:val="14"/>
          <w:color w:val="auto"/>
        </w:rPr>
        <w:t xml:space="preserve"> Restricted Stock Awards shall be subject to such restrictions on transferability, risk of forfeiture and other restrictions, if any, as the Committee may impose, or as otherwise provided in this Plan during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9(b) below and except as otherwise provided in the Award Agreement, the Restricted Stock may not be sold, transferred, pledged, hypothecated, margined or otherwise encumbered by the Participant or Beneficiary.</w:t>
      </w:r>
    </w:p>
    <w:p>
      <w:pPr>
        <w:spacing w:after="0" w:line="146" w:lineRule="exact"/>
        <w:rPr>
          <w:sz w:val="20"/>
          <w:szCs w:val="20"/>
          <w:color w:val="auto"/>
        </w:rPr>
      </w:pPr>
    </w:p>
    <w:p>
      <w:pPr>
        <w:jc w:val="both"/>
        <w:ind w:left="520" w:hanging="1"/>
        <w:spacing w:after="0" w:line="265" w:lineRule="auto"/>
        <w:tabs>
          <w:tab w:leader="none" w:pos="763"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Forfeiture.</w:t>
      </w:r>
      <w:r>
        <w:rPr>
          <w:rFonts w:ascii="Times New Roman" w:cs="Times New Roman" w:eastAsia="Times New Roman" w:hAnsi="Times New Roman"/>
          <w:sz w:val="14"/>
          <w:szCs w:val="14"/>
          <w:color w:val="auto"/>
        </w:rPr>
        <w:t xml:space="preserve"> Except as otherwise determined by the Committee, upon termination of a Participant’s Continuous Service during the applicable Restriction Period, the Participant’s Restricted Stock that is at that time subject to a risk of forfeiture that has not lapsed or otherwise been satisfied shall be forfeited and reacquired by the Company; provided that the Committee may provide, by resolution or other action or in any Award Agreement, or may determine in any individual case, that forfeiture conditions relating to Restricted Stock Awards shall be waived in whole or in part in the event of terminations resulting from specified causes, and the Committee may in other cases waive in whole or in part the forfeiture of Restricted Stock.</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16510</wp:posOffset>
            </wp:positionV>
            <wp:extent cx="716026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760"/>
          </w:cols>
          <w:pgMar w:left="820" w:top="577" w:right="319" w:bottom="1440" w:gutter="0" w:footer="0" w:header="0"/>
        </w:sectPr>
      </w:pPr>
    </w:p>
    <w:bookmarkStart w:id="189" w:name="page190"/>
    <w:bookmarkEnd w:id="189"/>
    <w:p>
      <w:pPr>
        <w:jc w:val="both"/>
        <w:ind w:left="520" w:hanging="1"/>
        <w:spacing w:after="0" w:line="268" w:lineRule="auto"/>
        <w:tabs>
          <w:tab w:leader="none" w:pos="782"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Certificates for Stock.</w:t>
      </w:r>
      <w:r>
        <w:rPr>
          <w:rFonts w:ascii="Times New Roman" w:cs="Times New Roman" w:eastAsia="Times New Roman" w:hAnsi="Times New Roman"/>
          <w:sz w:val="14"/>
          <w:szCs w:val="14"/>
          <w:color w:val="auto"/>
        </w:rPr>
        <w:t xml:space="preserve"> Restricted Stock granted under the Plan may be evidenced in such manner as the 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41" w:lineRule="exact"/>
        <w:rPr>
          <w:rFonts w:ascii="Times New Roman" w:cs="Times New Roman" w:eastAsia="Times New Roman" w:hAnsi="Times New Roman"/>
          <w:sz w:val="14"/>
          <w:szCs w:val="14"/>
          <w:color w:val="auto"/>
        </w:rPr>
      </w:pPr>
    </w:p>
    <w:p>
      <w:pPr>
        <w:jc w:val="both"/>
        <w:ind w:left="520" w:hanging="1"/>
        <w:spacing w:after="0" w:line="264" w:lineRule="auto"/>
        <w:tabs>
          <w:tab w:leader="none" w:pos="763"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Dividends and Splits.</w:t>
      </w:r>
      <w:r>
        <w:rPr>
          <w:rFonts w:ascii="Times New Roman" w:cs="Times New Roman" w:eastAsia="Times New Roman" w:hAnsi="Times New Roman"/>
          <w:sz w:val="14"/>
          <w:szCs w:val="14"/>
          <w:color w:val="auto"/>
        </w:rPr>
        <w:t xml:space="preserve"> As a condition to the grant of a Restricted Stock Award, the Committee shall either (A) require that any cash dividends paid on a Share of Restricted Stock be automatically reinvested in additional Shares of Restricted Stock, or (B)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42"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Restricted Stock Unit Award.</w:t>
      </w:r>
      <w:r>
        <w:rPr>
          <w:rFonts w:ascii="Times New Roman" w:cs="Times New Roman" w:eastAsia="Times New Roman" w:hAnsi="Times New Roman"/>
          <w:sz w:val="14"/>
          <w:szCs w:val="14"/>
          <w:color w:val="auto"/>
        </w:rPr>
        <w:t xml:space="preserve"> The Committee is authorized to grant Restricted Stock Unit Awards to any Eligible Person on the following terms and conditions:</w:t>
      </w:r>
    </w:p>
    <w:p>
      <w:pPr>
        <w:spacing w:after="0" w:line="183" w:lineRule="exact"/>
        <w:rPr>
          <w:rFonts w:ascii="Times New Roman" w:cs="Times New Roman" w:eastAsia="Times New Roman" w:hAnsi="Times New Roman"/>
          <w:sz w:val="14"/>
          <w:szCs w:val="14"/>
          <w:color w:val="auto"/>
        </w:rPr>
      </w:pPr>
    </w:p>
    <w:p>
      <w:pPr>
        <w:jc w:val="both"/>
        <w:ind w:left="520" w:hanging="1"/>
        <w:spacing w:after="0" w:line="261" w:lineRule="auto"/>
        <w:tabs>
          <w:tab w:leader="none" w:pos="691"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Award and Restrictions.</w:t>
      </w:r>
      <w:r>
        <w:rPr>
          <w:rFonts w:ascii="Times New Roman" w:cs="Times New Roman" w:eastAsia="Times New Roman" w:hAnsi="Times New Roman"/>
          <w:sz w:val="14"/>
          <w:szCs w:val="14"/>
          <w:color w:val="auto"/>
        </w:rPr>
        <w:t xml:space="preserve"> Satisfaction of a Restricted Stock Unit Award shall occur upon expiration of the deferral period specified for such Restricted Stock Unit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Restricted Stock Unit Award may be satisfied by delivery of Shares, cash equal to the Fair Market Value of the specified number of Shares covered by the Restricted Stock Units, or a combination thereof, as determined by the Committee at the date of grant or thereafter. Prior to satisfaction of a Restricted Stock Unit Award, a Restricted Stock Unit Award carries no voting or dividend or other rights associated with Share ownership. Prior to satisfaction of a Restricted Stock Unit Award, except as otherwise provided in an Award Agreement and as permitted under Section 409A of the Code, a Restricted Stock Unit Award may not be sold, transferred, pledged, hypothecated, margined or otherwise encumbered by the Participant or any Beneficiary.</w:t>
      </w:r>
    </w:p>
    <w:p>
      <w:pPr>
        <w:spacing w:after="0" w:line="145" w:lineRule="exact"/>
        <w:rPr>
          <w:rFonts w:ascii="Times New Roman" w:cs="Times New Roman" w:eastAsia="Times New Roman" w:hAnsi="Times New Roman"/>
          <w:sz w:val="14"/>
          <w:szCs w:val="14"/>
          <w:color w:val="auto"/>
        </w:rPr>
      </w:pPr>
    </w:p>
    <w:p>
      <w:pPr>
        <w:jc w:val="both"/>
        <w:ind w:left="520" w:hanging="1"/>
        <w:spacing w:after="0" w:line="265" w:lineRule="auto"/>
        <w:tabs>
          <w:tab w:leader="none" w:pos="731" w:val="left"/>
        </w:tabs>
        <w:numPr>
          <w:ilvl w:val="1"/>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Forfeiture.</w:t>
      </w:r>
      <w:r>
        <w:rPr>
          <w:rFonts w:ascii="Times New Roman" w:cs="Times New Roman" w:eastAsia="Times New Roman" w:hAnsi="Times New Roman"/>
          <w:sz w:val="14"/>
          <w:szCs w:val="14"/>
          <w:color w:val="auto"/>
        </w:rPr>
        <w:t xml:space="preserve"> Except as otherwise determined by the Committee, upon termination of a Participant’s Continuous 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forfeited; provided that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the Committee may in other cases waive in whole or in part the forfeiture of any Restricted Stock Unit Award.</w:t>
      </w:r>
    </w:p>
    <w:p>
      <w:pPr>
        <w:spacing w:after="0" w:line="1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16510</wp:posOffset>
            </wp:positionV>
            <wp:extent cx="716026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760"/>
          </w:cols>
          <w:pgMar w:left="820" w:top="577" w:right="319" w:bottom="1440" w:gutter="0" w:footer="0" w:header="0"/>
        </w:sectPr>
      </w:pPr>
    </w:p>
    <w:bookmarkStart w:id="190" w:name="page191"/>
    <w:bookmarkEnd w:id="190"/>
    <w:p>
      <w:pPr>
        <w:jc w:val="both"/>
        <w:ind w:left="520" w:hanging="1"/>
        <w:spacing w:after="0" w:line="265" w:lineRule="auto"/>
        <w:tabs>
          <w:tab w:leader="none" w:pos="782" w:val="left"/>
        </w:tabs>
        <w:numPr>
          <w:ilvl w:val="1"/>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 Equivalents.</w:t>
      </w:r>
      <w:r>
        <w:rPr>
          <w:rFonts w:ascii="Times New Roman" w:cs="Times New Roman" w:eastAsia="Times New Roman" w:hAnsi="Times New Roman"/>
          <w:sz w:val="14"/>
          <w:szCs w:val="14"/>
          <w:color w:val="auto"/>
        </w:rPr>
        <w:t xml:space="preserve"> As a condition to the grant of a Restricted Stock Unit, the Committee shall require that any cash dividends paid on a Share attributable to such Restricted Stock Unit be delayed (with or without interest at such rate, if any, as the Committee shall determine) and remain subject to restrictions and a risk of forfeiture to the same extent as the Restricted Stock Unit with respect to which such cash dividend is payable, in a manner that does not violate the requirements of Section 409A of the Code. Unless otherwise determined by the Committee, Shares distributed in connection with a stock split or stock dividend, and other property distributed as a dividend, shall be subject to restrictions and a risk of forfeiture to the same extent as the Restricted Stock Unit with respect to which such Shares or other property have been distributed.</w:t>
      </w:r>
    </w:p>
    <w:p>
      <w:pPr>
        <w:spacing w:after="0" w:line="144" w:lineRule="exact"/>
        <w:rPr>
          <w:rFonts w:ascii="Times New Roman" w:cs="Times New Roman" w:eastAsia="Times New Roman" w:hAnsi="Times New Roman"/>
          <w:sz w:val="14"/>
          <w:szCs w:val="14"/>
          <w:color w:val="auto"/>
        </w:rPr>
      </w:pPr>
    </w:p>
    <w:p>
      <w:pPr>
        <w:jc w:val="both"/>
        <w:ind w:firstLine="3"/>
        <w:spacing w:after="0" w:line="268" w:lineRule="auto"/>
        <w:tabs>
          <w:tab w:leader="none" w:pos="19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Bonus Stock and Awards in Lieu of Obligations.</w:t>
      </w:r>
      <w:r>
        <w:rPr>
          <w:rFonts w:ascii="Times New Roman" w:cs="Times New Roman" w:eastAsia="Times New Roman" w:hAnsi="Times New Roman"/>
          <w:sz w:val="14"/>
          <w:szCs w:val="14"/>
          <w:color w:val="auto"/>
        </w:rPr>
        <w:t xml:space="preserve"> The Committee is authorized to grant Shares to any Eligible Persons as a 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41" w:lineRule="exact"/>
        <w:rPr>
          <w:rFonts w:ascii="Times New Roman" w:cs="Times New Roman" w:eastAsia="Times New Roman" w:hAnsi="Times New Roman"/>
          <w:sz w:val="14"/>
          <w:szCs w:val="14"/>
          <w:color w:val="auto"/>
        </w:rPr>
      </w:pPr>
    </w:p>
    <w:p>
      <w:pPr>
        <w:jc w:val="both"/>
        <w:ind w:firstLine="3"/>
        <w:spacing w:after="0" w:line="262" w:lineRule="auto"/>
        <w:tabs>
          <w:tab w:leader="none" w:pos="203"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Dividend Equivalents.</w:t>
      </w:r>
      <w:r>
        <w:rPr>
          <w:rFonts w:ascii="Times New Roman" w:cs="Times New Roman" w:eastAsia="Times New Roman" w:hAnsi="Times New Roman"/>
          <w:sz w:val="14"/>
          <w:szCs w:val="14"/>
          <w:color w:val="auto"/>
        </w:rPr>
        <w:t xml:space="preserve"> The Committee is authorized to grant Dividend Equivalents to any Eligible Person entitling the Eligible Person to receive cash, Shares, other Awards, or other property equal in value to the dividends paid with respect to a specified number of Shares, or other periodic payments. Dividend Equivalents may be awarded on a free-standing basis or in connection with another Award. The Committee may provide that Dividend Equivalents shall be paid or distributed when accrued, or whether such Dividend Equivalents shall be deemed to have been reinvested in additional Shares, Awards, or other investment vehicles, and subject to such restrictions on transferability and risks of forfeiture, as the Committee may specify; provided, that in no event shall such Dividend Equivalents be paid out to Participants prior to vesting of the corresponding Shares underlying the Award. Any such determination by the Committee shall 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w:t>
      </w:r>
    </w:p>
    <w:p>
      <w:pPr>
        <w:spacing w:after="0" w:line="31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16510</wp:posOffset>
            </wp:positionV>
            <wp:extent cx="716026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760"/>
          </w:cols>
          <w:pgMar w:left="820" w:top="577" w:right="319" w:bottom="1440" w:gutter="0" w:footer="0" w:header="0"/>
        </w:sectPr>
      </w:pPr>
    </w:p>
    <w:bookmarkStart w:id="191" w:name="page192"/>
    <w:bookmarkEnd w:id="191"/>
    <w:p>
      <w:pPr>
        <w:jc w:val="both"/>
        <w:ind w:firstLine="3"/>
        <w:spacing w:after="0" w:line="260" w:lineRule="auto"/>
        <w:tabs>
          <w:tab w:leader="none" w:pos="203"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Awards.</w:t>
      </w:r>
      <w:r>
        <w:rPr>
          <w:rFonts w:ascii="Times New Roman" w:cs="Times New Roman" w:eastAsia="Times New Roman" w:hAnsi="Times New Roman"/>
          <w:sz w:val="14"/>
          <w:szCs w:val="14"/>
          <w:color w:val="auto"/>
        </w:rPr>
        <w:t xml:space="preserve"> The Committee is authorized to grant Performance Awards to any Eligible Person payable in cash, Shares, or other Awards, on terms and conditions established by the Committee. The performance criteria to be achieved during any Performance Period and the length of the Performance Period shall be determined by the Committee upon the grant of each Performance Award. The performance criteria may consist of the following (determined for the Company, on a consolidated basis, and/or for Related Entities, or for business or geographical units of the Company and/or a Related Entity): (1) earnings per share; (2) revenues or margins; (3) cash flow (including operating cash flow, free cash flow, discounted return on investment, and cash flow in excess of cost of capital); (4) operating margin; (5) return on net assets, investment, capital, or equity; (6) economic value added; (7) direct contribution;</w:t>
      </w:r>
    </w:p>
    <w:p>
      <w:pPr>
        <w:spacing w:after="0" w:line="2" w:lineRule="exact"/>
        <w:rPr>
          <w:rFonts w:ascii="Times New Roman" w:cs="Times New Roman" w:eastAsia="Times New Roman" w:hAnsi="Times New Roman"/>
          <w:sz w:val="14"/>
          <w:szCs w:val="14"/>
          <w:color w:val="auto"/>
        </w:rPr>
      </w:pPr>
    </w:p>
    <w:p>
      <w:pPr>
        <w:jc w:val="both"/>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 net income; pretax earnings; earnings before all or some of the following items: interest, taxes, depreciation, amortization, stock-based compensation, ASC 718 expense, or any extraordinary or special items;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stockholder return; (13) debt reduction; (14) market share; (15) entry into new markets, either geographically or by business unit; (16) customer retention and satisfaction; (17) strategic plan development and implementation, including turnaround plans; and/or (18) the Fair Market Value of a Share. Any of the foregoing criteria may be determined on an absolute or relative basis or as compared to the performance of a published or special index deemed applicable by the Committee including, but not limited to, the Standard &amp; Poor’s 500 Stock Index, the Nasdaq Composite Index, the Russell 2000 Index, or another group of companies that are comparable to the Company. In determining the achievement of the performance goals, unless otherwise specified by the Committee at the time the performance goals are set, the Committee shall exclude the impact of (i) restructurings, discontinued operations, and extraordinary items (as defined pursuant to generally accepted accounting principles), and other unusual or non-recurring charges, (ii) change in accounting standards required by generally accepted accounting principles; or (iii) such other exclusions or adjustments as the Committee specifies at the time the Award is granted. Except as may be provided in Section 8 or an Award Agreement, Performance Awards will be distributed only after the end of the relevant Performance Period. The performance goals to be achieved for each Performance Period, the duration of the Performance Period and the amount of the Award to be distributed, in each case, shall be conclusively determined by the Committee. Performance Awards may be paid in a lump sum or in installments following the close of the Performance Period or, in accordance with procedures established by the Committee, on a deferred basis in a manner that does not violate the requirements of Section 409A of the Code.</w:t>
      </w:r>
    </w:p>
    <w:p>
      <w:pPr>
        <w:spacing w:after="0" w:line="154" w:lineRule="exact"/>
        <w:rPr>
          <w:rFonts w:ascii="Times New Roman" w:cs="Times New Roman" w:eastAsia="Times New Roman" w:hAnsi="Times New Roman"/>
          <w:sz w:val="14"/>
          <w:szCs w:val="14"/>
          <w:color w:val="auto"/>
        </w:rPr>
      </w:pPr>
    </w:p>
    <w:p>
      <w:pPr>
        <w:jc w:val="both"/>
        <w:ind w:firstLine="3"/>
        <w:spacing w:after="0" w:line="262" w:lineRule="auto"/>
        <w:tabs>
          <w:tab w:leader="none" w:pos="171"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Stock-Based Awards.</w:t>
      </w:r>
      <w:r>
        <w:rPr>
          <w:rFonts w:ascii="Times New Roman" w:cs="Times New Roman" w:eastAsia="Times New Roman" w:hAnsi="Times New Roman"/>
          <w:sz w:val="14"/>
          <w:szCs w:val="14"/>
          <w:color w:val="auto"/>
        </w:rPr>
        <w:t xml:space="preserve"> The Committee is authorized, subject to limitations under applicable law, to grant to any 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the last sentence of Section 6(h) hereof,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Section 13(k) of the Exchange Act or any rule or regulation adopted thereunder or any other applicable law) paid for at such times, by such methods, and in such forms, including, without limitation, cash, Shares, other Awards or other property, as the Committee shall determine.</w:t>
      </w:r>
    </w:p>
    <w:p>
      <w:pPr>
        <w:spacing w:after="0" w:line="31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16510</wp:posOffset>
            </wp:positionV>
            <wp:extent cx="716026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760"/>
          </w:cols>
          <w:pgMar w:left="820" w:top="577" w:right="319" w:bottom="1440" w:gutter="0" w:footer="0" w:header="0"/>
        </w:sectPr>
      </w:pPr>
    </w:p>
    <w:bookmarkStart w:id="192" w:name="page193"/>
    <w:bookmarkEnd w:id="192"/>
    <w:p>
      <w:pPr>
        <w:ind w:left="140" w:hanging="134"/>
        <w:spacing w:after="0"/>
        <w:tabs>
          <w:tab w:leader="none" w:pos="140"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Certain Provisions Applicable to Awards.</w:t>
      </w:r>
    </w:p>
    <w:p>
      <w:pPr>
        <w:spacing w:after="0" w:line="185" w:lineRule="exact"/>
        <w:rPr>
          <w:rFonts w:ascii="Times New Roman" w:cs="Times New Roman" w:eastAsia="Times New Roman" w:hAnsi="Times New Roman"/>
          <w:sz w:val="14"/>
          <w:szCs w:val="14"/>
          <w:b w:val="1"/>
          <w:bCs w:val="1"/>
          <w:color w:val="auto"/>
        </w:rPr>
      </w:pPr>
    </w:p>
    <w:p>
      <w:pPr>
        <w:jc w:val="both"/>
        <w:ind w:left="520" w:firstLine="3"/>
        <w:spacing w:after="0" w:line="261" w:lineRule="auto"/>
        <w:tabs>
          <w:tab w:leader="none" w:pos="715" w:val="left"/>
        </w:tabs>
        <w:numPr>
          <w:ilvl w:val="1"/>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Stand-Alone, Additional, Tandem, and Substitute Awards.</w:t>
      </w:r>
      <w:r>
        <w:rPr>
          <w:rFonts w:ascii="Times New Roman" w:cs="Times New Roman" w:eastAsia="Times New Roman" w:hAnsi="Times New Roman"/>
          <w:sz w:val="14"/>
          <w:szCs w:val="14"/>
          <w:color w:val="auto"/>
        </w:rPr>
        <w:t xml:space="preserve"> Awards granted under the Plan may, in the discretion of the 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Shares subject to the Award is equivalent in value to the cash compensation (for example, Restricted Stock or Restricted Stock Units),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w:t>
      </w:r>
    </w:p>
    <w:p>
      <w:pPr>
        <w:spacing w:after="0" w:line="318" w:lineRule="exact"/>
        <w:rPr>
          <w:rFonts w:ascii="Times New Roman" w:cs="Times New Roman" w:eastAsia="Times New Roman" w:hAnsi="Times New Roman"/>
          <w:sz w:val="14"/>
          <w:szCs w:val="14"/>
          <w:color w:val="auto"/>
        </w:rPr>
      </w:pPr>
    </w:p>
    <w:p>
      <w:pPr>
        <w:jc w:val="both"/>
        <w:ind w:left="520" w:firstLine="3"/>
        <w:spacing w:after="0" w:line="262" w:lineRule="auto"/>
        <w:tabs>
          <w:tab w:leader="none" w:pos="744" w:val="left"/>
        </w:tabs>
        <w:numPr>
          <w:ilvl w:val="1"/>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 of Awards.</w:t>
      </w:r>
      <w:r>
        <w:rPr>
          <w:rFonts w:ascii="Times New Roman" w:cs="Times New Roman" w:eastAsia="Times New Roman" w:hAnsi="Times New Roman"/>
          <w:sz w:val="14"/>
          <w:szCs w:val="14"/>
          <w:color w:val="auto"/>
        </w:rPr>
        <w:t xml:space="preserve"> The term of each Award shall be for such period as may be determined by the Committee; provided that in no event shall the term of any Option or Stock Appreciation Right exceed a period of ten years (or in the case of an Incentive Stock Option such shorter term as may be required under Section 422 of the Code); provided, however, that in the event that on the last day of the term of an Option or a Stock Appreciation Right, other than an Incentive Stock Option, (i) the exercise of the Option or Stock Appreciation Right is prohibited by applicable law, or (ii) Shares may not be purchased, or sold by certain employees or directors of the Company due to the “black-out period” of a Company policy or a “lock-up” agreement undertaken in connection with an issuance of securities by the Company, the term of the Option or Stock Appreciation Right may be extended by the Committee for a period of up to thirty (30) days following the end of the legal prohibition, black-out period or lock-up agreement, provided that such extension of the term of the Option or Stock Appreciation Right would not cause the Option or Stock Appreciation Right to violate the requirements of Section 409A of the Code.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93" w:name="page194"/>
    <w:bookmarkEnd w:id="193"/>
    <w:p>
      <w:pPr>
        <w:jc w:val="both"/>
        <w:ind w:firstLine="3"/>
        <w:spacing w:after="0" w:line="259" w:lineRule="auto"/>
        <w:tabs>
          <w:tab w:leader="none" w:pos="206"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Form and Timing of Payment Under Awards; Deferrals.</w:t>
      </w:r>
      <w:r>
        <w:rPr>
          <w:rFonts w:ascii="Times New Roman" w:cs="Times New Roman" w:eastAsia="Times New Roman" w:hAnsi="Times New Roman"/>
          <w:sz w:val="14"/>
          <w:szCs w:val="14"/>
          <w:color w:val="auto"/>
        </w:rPr>
        <w:t xml:space="preserve"> Subject to the terms of the Plan and any applicable Award 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Subject to Section 7(e) of this Plan, the settlement of any Award may be accelerated, and cash paid in lieu of Shares in connection with such settlement, in the sole discretion of the Committee or upon occurrence of one or more specified events (in addition to a Change in Control).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7(e) of this Plan, including the consent provisions thereof in the case of any deferral of an outstanding Award not provided for in the original Award Agreement) or permitted at the election of the Participant on terms and conditions established by the Committee. The acceleration of the settlement of any Award, and the payment of any Award in installments or on a deferred basis, all shall be done in a manner that is intended to be exempt from or otherwise satisfy the requirements of Section 409A of the Code. The Committee may, without limitation, make provision for the payment or crediting of a reasonable interest rate on installment or deferred payments or the grant or crediting of Dividend Equivalents or other amounts in respect of installment or deferred payments denominated in Shares.</w:t>
      </w:r>
    </w:p>
    <w:p>
      <w:pPr>
        <w:spacing w:after="0" w:line="150" w:lineRule="exact"/>
        <w:rPr>
          <w:rFonts w:ascii="Times New Roman" w:cs="Times New Roman" w:eastAsia="Times New Roman" w:hAnsi="Times New Roman"/>
          <w:sz w:val="14"/>
          <w:szCs w:val="14"/>
          <w:color w:val="auto"/>
        </w:rPr>
      </w:pPr>
    </w:p>
    <w:p>
      <w:pPr>
        <w:jc w:val="both"/>
        <w:ind w:firstLine="3"/>
        <w:spacing w:after="0" w:line="268" w:lineRule="auto"/>
        <w:tabs>
          <w:tab w:leader="none" w:pos="214"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Exemptions from Section 16(b) Liability.</w:t>
      </w:r>
      <w:r>
        <w:rPr>
          <w:rFonts w:ascii="Times New Roman" w:cs="Times New Roman" w:eastAsia="Times New Roman" w:hAnsi="Times New Roman"/>
          <w:sz w:val="14"/>
          <w:szCs w:val="14"/>
          <w:color w:val="auto"/>
        </w:rPr>
        <w:t xml:space="preserve"> It is the intent of the Company that the grant of any Awards to or other 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41" w:lineRule="exact"/>
        <w:rPr>
          <w:rFonts w:ascii="Times New Roman" w:cs="Times New Roman" w:eastAsia="Times New Roman" w:hAnsi="Times New Roman"/>
          <w:sz w:val="14"/>
          <w:szCs w:val="14"/>
          <w:color w:val="auto"/>
        </w:rPr>
      </w:pPr>
    </w:p>
    <w:p>
      <w:pPr>
        <w:ind w:left="200" w:hanging="197"/>
        <w:spacing w:after="0"/>
        <w:tabs>
          <w:tab w:leader="none" w:pos="2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Code Section 409A.</w:t>
      </w:r>
    </w:p>
    <w:p>
      <w:pPr>
        <w:spacing w:after="0" w:line="183" w:lineRule="exact"/>
        <w:rPr>
          <w:rFonts w:ascii="Times New Roman" w:cs="Times New Roman" w:eastAsia="Times New Roman" w:hAnsi="Times New Roman"/>
          <w:sz w:val="14"/>
          <w:szCs w:val="14"/>
          <w:color w:val="auto"/>
        </w:rPr>
      </w:pPr>
    </w:p>
    <w:p>
      <w:pPr>
        <w:jc w:val="both"/>
        <w:ind w:left="520" w:hanging="1"/>
        <w:spacing w:after="0" w:line="267" w:lineRule="auto"/>
        <w:tabs>
          <w:tab w:leader="none" w:pos="691"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Agreement for any Award that the Committee reasonably determines to constitute a “nonqualified deferred compensation plan” under Section 409A of the Code (a “Section 409A Plan”), and the provisions of the Section 409A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31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16510</wp:posOffset>
            </wp:positionV>
            <wp:extent cx="716026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760"/>
          </w:cols>
          <w:pgMar w:left="820" w:top="577" w:right="319" w:bottom="1440" w:gutter="0" w:footer="0" w:header="0"/>
        </w:sectPr>
      </w:pPr>
    </w:p>
    <w:bookmarkStart w:id="194" w:name="page195"/>
    <w:bookmarkEnd w:id="194"/>
    <w:p>
      <w:pPr>
        <w:ind w:left="221" w:hanging="221"/>
        <w:spacing w:after="0"/>
        <w:tabs>
          <w:tab w:leader="none" w:pos="221"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Award constitutes a Section 409A Plan, then the Award shall be subject to the following additional requirements, if and to the extent required to comply with Section</w:t>
      </w:r>
    </w:p>
    <w:p>
      <w:pPr>
        <w:spacing w:after="0" w:line="24" w:lineRule="exact"/>
        <w:rPr>
          <w:rFonts w:ascii="Times New Roman" w:cs="Times New Roman" w:eastAsia="Times New Roman" w:hAnsi="Times New Roman"/>
          <w:sz w:val="14"/>
          <w:szCs w:val="14"/>
          <w:color w:val="auto"/>
        </w:rPr>
      </w:pPr>
    </w:p>
    <w:p>
      <w:pPr>
        <w:ind w:left="1"/>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409A of the Code:</w:t>
      </w:r>
    </w:p>
    <w:p>
      <w:pPr>
        <w:spacing w:after="0" w:line="169" w:lineRule="exact"/>
        <w:rPr>
          <w:rFonts w:ascii="Times New Roman" w:cs="Times New Roman" w:eastAsia="Times New Roman" w:hAnsi="Times New Roman"/>
          <w:sz w:val="14"/>
          <w:szCs w:val="14"/>
          <w:color w:val="auto"/>
        </w:rPr>
      </w:pPr>
    </w:p>
    <w:p>
      <w:pPr>
        <w:jc w:val="both"/>
        <w:ind w:left="521" w:hanging="5"/>
        <w:spacing w:after="0" w:line="268" w:lineRule="auto"/>
        <w:tabs>
          <w:tab w:leader="none" w:pos="760"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under the Section 409A Plan may be made only upon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41" w:lineRule="exact"/>
        <w:rPr>
          <w:rFonts w:ascii="Times New Roman" w:cs="Times New Roman" w:eastAsia="Times New Roman" w:hAnsi="Times New Roman"/>
          <w:sz w:val="14"/>
          <w:szCs w:val="14"/>
          <w:color w:val="auto"/>
        </w:rPr>
      </w:pPr>
    </w:p>
    <w:p>
      <w:pPr>
        <w:ind w:left="521" w:hanging="5"/>
        <w:spacing w:after="0" w:line="293" w:lineRule="auto"/>
        <w:tabs>
          <w:tab w:leader="none" w:pos="745"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123" w:lineRule="exact"/>
        <w:rPr>
          <w:rFonts w:ascii="Times New Roman" w:cs="Times New Roman" w:eastAsia="Times New Roman" w:hAnsi="Times New Roman"/>
          <w:sz w:val="14"/>
          <w:szCs w:val="14"/>
          <w:color w:val="auto"/>
        </w:rPr>
      </w:pPr>
    </w:p>
    <w:p>
      <w:pPr>
        <w:ind w:left="521" w:hanging="5"/>
        <w:spacing w:after="0" w:line="293" w:lineRule="auto"/>
        <w:tabs>
          <w:tab w:leader="none" w:pos="769"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elections with respect to the deferral of such compensation or the time and form of distribution of such deferred compensation shall comply with the requirements of Section 409A(a)(4) of the Code; and</w:t>
      </w:r>
    </w:p>
    <w:p>
      <w:pPr>
        <w:spacing w:after="0" w:line="123" w:lineRule="exact"/>
        <w:rPr>
          <w:rFonts w:ascii="Times New Roman" w:cs="Times New Roman" w:eastAsia="Times New Roman" w:hAnsi="Times New Roman"/>
          <w:sz w:val="14"/>
          <w:szCs w:val="14"/>
          <w:color w:val="auto"/>
        </w:rPr>
      </w:pPr>
    </w:p>
    <w:p>
      <w:pPr>
        <w:ind w:left="521" w:hanging="5"/>
        <w:spacing w:after="0" w:line="293" w:lineRule="auto"/>
        <w:tabs>
          <w:tab w:leader="none" w:pos="764"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23" w:lineRule="exact"/>
        <w:rPr>
          <w:sz w:val="20"/>
          <w:szCs w:val="20"/>
          <w:color w:val="auto"/>
        </w:rPr>
      </w:pPr>
    </w:p>
    <w:p>
      <w:pPr>
        <w:jc w:val="both"/>
        <w:ind w:left="1"/>
        <w:spacing w:after="0" w:line="286" w:lineRule="auto"/>
        <w:rPr>
          <w:sz w:val="20"/>
          <w:szCs w:val="20"/>
          <w:color w:val="auto"/>
        </w:rPr>
      </w:pPr>
      <w:r>
        <w:rPr>
          <w:rFonts w:ascii="Times New Roman" w:cs="Times New Roman" w:eastAsia="Times New Roman" w:hAnsi="Times New Roman"/>
          <w:sz w:val="14"/>
          <w:szCs w:val="14"/>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305" w:lineRule="exact"/>
        <w:rPr>
          <w:sz w:val="20"/>
          <w:szCs w:val="20"/>
          <w:color w:val="auto"/>
        </w:rPr>
      </w:pPr>
    </w:p>
    <w:p>
      <w:pPr>
        <w:jc w:val="both"/>
        <w:ind w:left="1" w:hanging="1"/>
        <w:spacing w:after="0" w:line="265" w:lineRule="auto"/>
        <w:tabs>
          <w:tab w:leader="none" w:pos="255"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w:t>
      </w:r>
    </w:p>
    <w:p>
      <w:pPr>
        <w:spacing w:after="0" w:line="144" w:lineRule="exact"/>
        <w:rPr>
          <w:sz w:val="20"/>
          <w:szCs w:val="20"/>
          <w:color w:val="auto"/>
        </w:rPr>
      </w:pPr>
    </w:p>
    <w:p>
      <w:pPr>
        <w:ind w:left="4381"/>
        <w:spacing w:after="0"/>
        <w:rPr>
          <w:sz w:val="20"/>
          <w:szCs w:val="20"/>
          <w:color w:val="auto"/>
        </w:rPr>
      </w:pPr>
      <w:r>
        <w:rPr>
          <w:rFonts w:ascii="Times New Roman" w:cs="Times New Roman" w:eastAsia="Times New Roman" w:hAnsi="Times New Roman"/>
          <w:sz w:val="14"/>
          <w:szCs w:val="14"/>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16510</wp:posOffset>
            </wp:positionV>
            <wp:extent cx="716026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241"/>
          </w:cols>
          <w:pgMar w:left="1339" w:top="577" w:right="319" w:bottom="1440" w:gutter="0" w:footer="0" w:header="0"/>
        </w:sectPr>
      </w:pPr>
    </w:p>
    <w:bookmarkStart w:id="195" w:name="page196"/>
    <w:bookmarkEnd w:id="195"/>
    <w:p>
      <w:pPr>
        <w:ind w:left="140" w:hanging="134"/>
        <w:spacing w:after="0"/>
        <w:tabs>
          <w:tab w:leader="none" w:pos="140"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 in Control.</w:t>
      </w:r>
    </w:p>
    <w:p>
      <w:pPr>
        <w:spacing w:after="0" w:line="185" w:lineRule="exact"/>
        <w:rPr>
          <w:rFonts w:ascii="Times New Roman" w:cs="Times New Roman" w:eastAsia="Times New Roman" w:hAnsi="Times New Roman"/>
          <w:sz w:val="14"/>
          <w:szCs w:val="14"/>
          <w:b w:val="1"/>
          <w:bCs w:val="1"/>
          <w:color w:val="auto"/>
        </w:rPr>
      </w:pPr>
    </w:p>
    <w:p>
      <w:pPr>
        <w:jc w:val="both"/>
        <w:ind w:left="520" w:firstLine="3"/>
        <w:spacing w:after="0" w:line="265" w:lineRule="auto"/>
        <w:tabs>
          <w:tab w:leader="none" w:pos="725"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of “Change in Control.” Subject to any limitations or reductions as may be necessary to comply with Section 409A of the Code, an Award may be subject to acceleration of vesting and exercisability if and only to the extent expressly provided for in any employment or other agreement between the Participant and the Company or any Related Entity, or in any Award Agreement entered into prior to the occurrence of a Change in Control (as defined below), or to the extent otherwise determined by the Committee in its sole discretion and without any requirement that each Participant be treated consistently. Except as otherwise provided in Section 8(a)(iv) hereof, such Awards shall be treated as follows upon the occurrence of a “Change in Control,” as defined in Section 8(b):</w:t>
      </w:r>
    </w:p>
    <w:p>
      <w:pPr>
        <w:spacing w:after="0" w:line="144" w:lineRule="exact"/>
        <w:rPr>
          <w:rFonts w:ascii="Times New Roman" w:cs="Times New Roman" w:eastAsia="Times New Roman" w:hAnsi="Times New Roman"/>
          <w:sz w:val="14"/>
          <w:szCs w:val="14"/>
          <w:color w:val="auto"/>
        </w:rPr>
      </w:pPr>
    </w:p>
    <w:p>
      <w:pPr>
        <w:ind w:left="1040" w:hanging="1"/>
        <w:spacing w:after="0" w:line="293" w:lineRule="auto"/>
        <w:tabs>
          <w:tab w:leader="none" w:pos="1224" w:val="left"/>
        </w:tabs>
        <w:numPr>
          <w:ilvl w:val="2"/>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Option or Stock Appreciation Right that was not previously vested and exercisable as of the time of the Change in Control, shall become immediately vested and exercisable, subject to applicable restrictions set forth in Section 9(a) hereof.</w:t>
      </w:r>
    </w:p>
    <w:p>
      <w:pPr>
        <w:spacing w:after="0" w:line="123" w:lineRule="exact"/>
        <w:rPr>
          <w:rFonts w:ascii="Times New Roman" w:cs="Times New Roman" w:eastAsia="Times New Roman" w:hAnsi="Times New Roman"/>
          <w:sz w:val="14"/>
          <w:szCs w:val="14"/>
          <w:color w:val="auto"/>
        </w:rPr>
      </w:pPr>
    </w:p>
    <w:p>
      <w:pPr>
        <w:jc w:val="both"/>
        <w:ind w:left="1040" w:hanging="1"/>
        <w:spacing w:after="0" w:line="275" w:lineRule="auto"/>
        <w:tabs>
          <w:tab w:leader="none" w:pos="1245" w:val="left"/>
        </w:tabs>
        <w:numPr>
          <w:ilvl w:val="2"/>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deferral of settlement, and forfeiture conditions applicable to a Restricted Stock Award, Restricted Stock Unit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 Section 9(a) hereof.</w:t>
      </w:r>
    </w:p>
    <w:p>
      <w:pPr>
        <w:spacing w:after="0" w:line="135" w:lineRule="exact"/>
        <w:rPr>
          <w:rFonts w:ascii="Times New Roman" w:cs="Times New Roman" w:eastAsia="Times New Roman" w:hAnsi="Times New Roman"/>
          <w:sz w:val="14"/>
          <w:szCs w:val="14"/>
          <w:color w:val="auto"/>
        </w:rPr>
      </w:pPr>
    </w:p>
    <w:p>
      <w:pPr>
        <w:jc w:val="both"/>
        <w:ind w:left="1040" w:hanging="1"/>
        <w:spacing w:after="0" w:line="268" w:lineRule="auto"/>
        <w:tabs>
          <w:tab w:leader="none" w:pos="1305" w:val="left"/>
        </w:tabs>
        <w:numPr>
          <w:ilvl w:val="2"/>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outstanding Award subject to achievement of performance goals and conditions under the Plan, the Committee may, in its discretion, consider such Awards to have been earned and payable based on actual achievement of performance goals as measured immediately prior to the consummation of the Change in Control or based upon target performance (either in full or pro-rata based on the portion of the Performance Period completed as of the Change in Control), except to the extent of any waiver by the Participant and subject to applicable restrictions set forth in Section 9(a).</w:t>
      </w:r>
    </w:p>
    <w:p>
      <w:pPr>
        <w:spacing w:after="0" w:line="141" w:lineRule="exact"/>
        <w:rPr>
          <w:rFonts w:ascii="Times New Roman" w:cs="Times New Roman" w:eastAsia="Times New Roman" w:hAnsi="Times New Roman"/>
          <w:sz w:val="14"/>
          <w:szCs w:val="14"/>
          <w:color w:val="auto"/>
        </w:rPr>
      </w:pPr>
    </w:p>
    <w:p>
      <w:pPr>
        <w:jc w:val="both"/>
        <w:ind w:left="1040" w:hanging="1"/>
        <w:spacing w:after="0" w:line="264" w:lineRule="auto"/>
        <w:tabs>
          <w:tab w:leader="none" w:pos="1295" w:val="left"/>
        </w:tabs>
        <w:numPr>
          <w:ilvl w:val="2"/>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provided in any employment or other agreement for services between the Participant and the Company or any Subsidiary, and unless the Committee otherwise determines in a specific instance, each outstanding Option, Stock Appreciation Right, Restricted Stock Award, Restricted Stock Unit Award or Other Stock-Based Award shall not be accelerated as described in Sections 8(a)(i), (ii) and (iii), if either (A) the Company is the surviving entity in the Change in Control and the Option, Stock Appreciation Right, Restricted Stock Award, Restricted Stock Unit Award or Other Stock-Based Award continues to be outstanding after the Change in Control on substantially the same terms and conditions as were applicable immediately prior to the Change in Control or (B) the successor company or its parent company assumes or substitutes for the applicable Award, as determined in accordance with Section 9(c)(ii) of this Plan.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196" w:name="page197"/>
    <w:bookmarkEnd w:id="196"/>
    <w:p>
      <w:pPr>
        <w:ind w:firstLine="3"/>
        <w:spacing w:after="0" w:line="293" w:lineRule="auto"/>
        <w:tabs>
          <w:tab w:leader="none" w:pos="203"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Definition of “Change in Control”. Unless otherwise specified in any employment or other agreement for services between the Participant and the Company or any Related Entity, or in an Award Agreement, a “Change in Control” shall mean the occurrence of any of the following:</w:t>
      </w:r>
    </w:p>
    <w:p>
      <w:pPr>
        <w:spacing w:after="0" w:line="123" w:lineRule="exact"/>
        <w:rPr>
          <w:rFonts w:ascii="Times New Roman" w:cs="Times New Roman" w:eastAsia="Times New Roman" w:hAnsi="Times New Roman"/>
          <w:sz w:val="14"/>
          <w:szCs w:val="14"/>
          <w:color w:val="auto"/>
        </w:rPr>
      </w:pPr>
    </w:p>
    <w:p>
      <w:pPr>
        <w:jc w:val="both"/>
        <w:ind w:left="520" w:hanging="1"/>
        <w:spacing w:after="0" w:line="258" w:lineRule="auto"/>
        <w:tabs>
          <w:tab w:leader="none" w:pos="697"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(whether by purchase, merger, consolidation, combination, or other similar transaction) by any Person of Beneficial Ownership (within the meaning of Rule 13d-3 promulgated under the Exchange Act) of more than fifty percent (50%) of (A) the then-outstanding shares of Common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Plan, the following acquisitions shall not constitute or result in a Change in Control: (w) any acquisition by the Company or any Related Entity (including Chavant Capital Partners LLC); (x) any acquisition by any Person that as of the Effective Date owns Beneficial Ownership of a Controlling Interest; (y) any acquisition by any employee benefit plan (or related trust) sponsored or maintained by the Company or any Related Entity; or (z) any acquisition by any entity pursuant to a transaction which complies with the following (1) all or substantially all of the individuals and entities who were the Beneficial Owners, respectively, of the Outstanding Company Voting Securities immediately prior to such transaction beneficially own, directly or indirectly, more than fifty percent (50%) of the combined voting power of the then outstanding voting securities entitled to vote generally in the election of members of the board of directors (or comparable governing body of an entity that does not have such a board), as the case may be, of the entity resulting from such transaction (including, without limitation, an entity which as a result of such transaction owns the Company or all or substantially all of the Company’s assets either directly or through one or more subsidiaries) (the “Continuing Entity”) immediately prior to such transaction, of the Outstanding Company Voting Securities, (excluding any outstanding voting securities of the Continuing Entity that such Beneficial Owners hold immediately following the consummation of the transaction as a result of their ownership, prior to such consummation, of voting securities of any company or other entity involved in or forming part of such transaction other than the Company), and (2) no Person (excluding any employee benefit plan (or related trust) of the Company or any Continuing Entity or any entity controlled by the Continuing Entity or any Person that as of the Effective Date owns Beneficial Ownership of a Controlling Interest) beneficially owns, directly or indirectly, more than fifty percent (50%) of the combined voting power of the then outstanding voting securities of the Continuing Entity except to the extent that such ownership existed prior to the transaction; or</w:t>
      </w:r>
    </w:p>
    <w:p>
      <w:pPr>
        <w:spacing w:after="0" w:line="156" w:lineRule="exact"/>
        <w:rPr>
          <w:rFonts w:ascii="Times New Roman" w:cs="Times New Roman" w:eastAsia="Times New Roman" w:hAnsi="Times New Roman"/>
          <w:sz w:val="14"/>
          <w:szCs w:val="14"/>
          <w:color w:val="auto"/>
        </w:rPr>
      </w:pPr>
    </w:p>
    <w:p>
      <w:pPr>
        <w:jc w:val="both"/>
        <w:ind w:left="520" w:hanging="1"/>
        <w:spacing w:after="0" w:line="264" w:lineRule="auto"/>
        <w:tabs>
          <w:tab w:leader="none" w:pos="739"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any period of twelve (12) consecutive months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two-thirds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4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16510</wp:posOffset>
            </wp:positionV>
            <wp:extent cx="716026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760"/>
          </w:cols>
          <w:pgMar w:left="820" w:top="577" w:right="319" w:bottom="1440" w:gutter="0" w:footer="0" w:header="0"/>
        </w:sectPr>
      </w:pPr>
    </w:p>
    <w:bookmarkStart w:id="197" w:name="page198"/>
    <w:bookmarkEnd w:id="197"/>
    <w:p>
      <w:pPr>
        <w:ind w:left="1040" w:hanging="1"/>
        <w:spacing w:after="0" w:line="266" w:lineRule="auto"/>
        <w:tabs>
          <w:tab w:leader="none" w:pos="1305"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Consummation of a sale or other disposition of all or substantially all of the assets of the Company and its Subsidiaries (taken as a whole) to any Person who is not an Affiliate.</w:t>
      </w:r>
    </w:p>
    <w:p>
      <w:pPr>
        <w:spacing w:after="0" w:line="338" w:lineRule="exact"/>
        <w:rPr>
          <w:sz w:val="20"/>
          <w:szCs w:val="20"/>
          <w:color w:val="auto"/>
        </w:rPr>
      </w:pPr>
    </w:p>
    <w:p>
      <w:pPr>
        <w:jc w:val="both"/>
        <w:ind w:left="520"/>
        <w:spacing w:after="0" w:line="268" w:lineRule="auto"/>
        <w:rPr>
          <w:sz w:val="20"/>
          <w:szCs w:val="20"/>
          <w:color w:val="auto"/>
        </w:rPr>
      </w:pPr>
      <w:r>
        <w:rPr>
          <w:rFonts w:ascii="Times New Roman" w:cs="Times New Roman" w:eastAsia="Times New Roman" w:hAnsi="Times New Roman"/>
          <w:sz w:val="14"/>
          <w:szCs w:val="14"/>
          <w:color w:val="auto"/>
        </w:rPr>
        <w:t>Notwithstanding anything to the contrary herein, the term “Change in Control” shall not include any sale of assets, a merger or other transaction effected exclusively for the purpose of changing the domicile of the Company. If required for compliance with Section 409A of the Code, in no event will a Change in Control be deemed to have occurred if such transaction is not also a “change in the ownership or effective control of” the Company or “a change in the ownership of a substantial portion of the assets of” the Company as determined under Treasury Regulation Section 1.409A-3(i)(5) (without regard to any alternative definition thereunder).</w:t>
      </w:r>
    </w:p>
    <w:p>
      <w:pPr>
        <w:spacing w:after="0" w:line="140" w:lineRule="exact"/>
        <w:rPr>
          <w:sz w:val="20"/>
          <w:szCs w:val="20"/>
          <w:color w:val="auto"/>
        </w:rPr>
      </w:pPr>
    </w:p>
    <w:p>
      <w:pPr>
        <w:ind w:left="140" w:hanging="134"/>
        <w:spacing w:after="0"/>
        <w:tabs>
          <w:tab w:leader="none" w:pos="140"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 Provisions.</w:t>
      </w:r>
    </w:p>
    <w:p>
      <w:pPr>
        <w:spacing w:after="0" w:line="185" w:lineRule="exact"/>
        <w:rPr>
          <w:rFonts w:ascii="Times New Roman" w:cs="Times New Roman" w:eastAsia="Times New Roman" w:hAnsi="Times New Roman"/>
          <w:sz w:val="14"/>
          <w:szCs w:val="14"/>
          <w:b w:val="1"/>
          <w:bCs w:val="1"/>
          <w:color w:val="auto"/>
        </w:rPr>
      </w:pPr>
    </w:p>
    <w:p>
      <w:pPr>
        <w:jc w:val="both"/>
        <w:ind w:left="520" w:firstLine="3"/>
        <w:spacing w:after="0" w:line="265" w:lineRule="auto"/>
        <w:tabs>
          <w:tab w:leader="none" w:pos="715"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 With Legal and Other Requirements.</w:t>
      </w:r>
      <w:r>
        <w:rPr>
          <w:rFonts w:ascii="Times New Roman" w:cs="Times New Roman" w:eastAsia="Times New Roman" w:hAnsi="Times New Roman"/>
          <w:sz w:val="14"/>
          <w:szCs w:val="14"/>
          <w:color w:val="auto"/>
        </w:rPr>
        <w:t xml:space="preserve"> The Company may, to the extent deemed necessary or advisable by 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44" w:lineRule="exact"/>
        <w:rPr>
          <w:rFonts w:ascii="Times New Roman" w:cs="Times New Roman" w:eastAsia="Times New Roman" w:hAnsi="Times New Roman"/>
          <w:sz w:val="14"/>
          <w:szCs w:val="14"/>
          <w:color w:val="auto"/>
        </w:rPr>
      </w:pPr>
    </w:p>
    <w:p>
      <w:pPr>
        <w:jc w:val="both"/>
        <w:ind w:left="520" w:firstLine="3"/>
        <w:spacing w:after="0" w:line="259" w:lineRule="auto"/>
        <w:tabs>
          <w:tab w:leader="none" w:pos="734"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Limits on Transferability; Beneficiaries.</w:t>
      </w:r>
      <w:r>
        <w:rPr>
          <w:rFonts w:ascii="Times New Roman" w:cs="Times New Roman" w:eastAsia="Times New Roman" w:hAnsi="Times New Roman"/>
          <w:sz w:val="14"/>
          <w:szCs w:val="14"/>
          <w:color w:val="auto"/>
        </w:rPr>
        <w:t xml:space="preserve"> No Award or other right or interest granted under the Plan shall be pledged, 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securities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clauses (i) and (ii) are the only partners, members or shareholders, or (iv) a foundation in which any person or entity designated in clauses (i), (ii) or (iii) above control the management of assets.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198" w:name="page199"/>
    <w:bookmarkEnd w:id="198"/>
    <w:p>
      <w:pPr>
        <w:ind w:left="200" w:hanging="197"/>
        <w:spacing w:after="0"/>
        <w:tabs>
          <w:tab w:leader="none" w:pos="2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w:t>
      </w:r>
    </w:p>
    <w:p>
      <w:pPr>
        <w:spacing w:after="0" w:line="183" w:lineRule="exact"/>
        <w:rPr>
          <w:rFonts w:ascii="Times New Roman" w:cs="Times New Roman" w:eastAsia="Times New Roman" w:hAnsi="Times New Roman"/>
          <w:sz w:val="14"/>
          <w:szCs w:val="14"/>
          <w:color w:val="auto"/>
        </w:rPr>
      </w:pPr>
    </w:p>
    <w:p>
      <w:pPr>
        <w:jc w:val="both"/>
        <w:ind w:left="520" w:hanging="1"/>
        <w:spacing w:after="0" w:line="260" w:lineRule="auto"/>
        <w:tabs>
          <w:tab w:leader="none" w:pos="691"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 to Awards.</w:t>
      </w:r>
      <w:r>
        <w:rPr>
          <w:rFonts w:ascii="Times New Roman" w:cs="Times New Roman" w:eastAsia="Times New Roman" w:hAnsi="Times New Roman"/>
          <w:sz w:val="14"/>
          <w:szCs w:val="14"/>
          <w:color w:val="auto"/>
        </w:rPr>
        <w:t xml:space="preserve"> In the event that any extraordinary dividend or other distribution (whether in the form of 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4 hereof, (C) the number and kind of Shares subject to or deliverable in respect of outstanding Awards,</w:t>
      </w:r>
    </w:p>
    <w:p>
      <w:pPr>
        <w:spacing w:after="0" w:line="2"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 the exercise price, grant price or purchase price relating to any Award and/or make provision for payment of cash or other property in respect of any outstanding Award, and</w:t>
      </w:r>
    </w:p>
    <w:p>
      <w:pPr>
        <w:spacing w:after="0" w:line="11" w:lineRule="exact"/>
        <w:rPr>
          <w:rFonts w:ascii="Times New Roman" w:cs="Times New Roman" w:eastAsia="Times New Roman" w:hAnsi="Times New Roman"/>
          <w:sz w:val="14"/>
          <w:szCs w:val="14"/>
          <w:color w:val="auto"/>
        </w:rPr>
      </w:pPr>
    </w:p>
    <w:p>
      <w:pPr>
        <w:jc w:val="both"/>
        <w:ind w:left="520"/>
        <w:spacing w:after="0" w:line="2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 any other aspect of any Award that the Committee determines to be appropriate in order to prevent the reduction or enlargement of benefits under any Award; provided, that in the case of any “equity restructuring” (within the meaning of the Financial Accounting Standards Board Accounting Standards Codification Topic 718 (or any successor pronouncement thereto)), the Committee shall make an equitable or proportionate adjustment to outstanding Awards to reflect such equity restructuring. Any adjustment under this Section 9(c) shall be conclusive and binding for all purposes.</w:t>
      </w:r>
    </w:p>
    <w:p>
      <w:pPr>
        <w:spacing w:after="0" w:line="144" w:lineRule="exact"/>
        <w:rPr>
          <w:rFonts w:ascii="Times New Roman" w:cs="Times New Roman" w:eastAsia="Times New Roman" w:hAnsi="Times New Roman"/>
          <w:sz w:val="14"/>
          <w:szCs w:val="14"/>
          <w:color w:val="auto"/>
        </w:rPr>
      </w:pPr>
    </w:p>
    <w:p>
      <w:pPr>
        <w:jc w:val="both"/>
        <w:ind w:left="520" w:hanging="1"/>
        <w:spacing w:after="0" w:line="258" w:lineRule="auto"/>
        <w:tabs>
          <w:tab w:leader="none" w:pos="731" w:val="left"/>
        </w:tabs>
        <w:numPr>
          <w:ilvl w:val="1"/>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 in Case of Certain Transactions.</w:t>
      </w:r>
      <w:r>
        <w:rPr>
          <w:rFonts w:ascii="Times New Roman" w:cs="Times New Roman" w:eastAsia="Times New Roman" w:hAnsi="Times New Roman"/>
          <w:sz w:val="14"/>
          <w:szCs w:val="14"/>
          <w:color w:val="auto"/>
        </w:rPr>
        <w:t xml:space="preserve"> In the event of any merger, consolidation or other reorganization in which the Company does not survive, or in the event of any Change in Control (and subject to the provisions of Section 8 of this Plan relating to the vesting of Awards in the event of any Change in Control and subject to any limitations or reductions as may be necessary to comply with Section 409A of the Code),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(A) the continuation of the outstanding Awards by the Company, if the Company is a surviving entity, (B) the assumption or substitution for, as those terms are defined below, the outstanding Awards by the surviving entity or its parent or subsidiary, (C) full exercisability or vesting and accelerated expiration of the outstanding Awards, or (D)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(it being understood that, in such event, any Option or Stock Appreciation Right having a per Share exercise or grant price equal to, or in excess of, the Fair Market Value of a Share subject thereto may be canceled and terminated without any payment or consideration therefor). For the purposes of this Plan, an Option, Stock Appreciation Right, Restricted Stock Award, Restricted Stock Unit Award, Performance Award or Other Stock-Based Award shall be considered assumed or substituted for if following the applicable transaction the Award confers the right to purchase or receive, for each Share subject to the Option, Stock Appreciation Right, Restricted Stock Award, Restricted Stock Unit Award, Performance Award or Other Stock-Based Award immediately prior to the applicable transaction, on substantially the same vesting and other terms and conditions as were applicable to the Award immediately prior to the applicable transaction, the consideration (whether stock, cash or other securities or property) received in the applicable transaction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applicable transaction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Restricted Stock Unit Award, Performance Award or Other Stock-Based Award, for each Share subject thereto, will be solely common stock of the successor company or its parent or subsidiary substantially equal in fair market value to the per share consideration received by holders of Shares in the applicable transaction. The determination of such substantial equality of value of consideration shall be made by the Committee in its sole discretion and its determination shall be conclusive and binding. The Committee shall give written notice of any proposed transaction referred to in this Section 9(c)(ii)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or her exercise of any Awards upon the consummation of the transaction.</w:t>
      </w:r>
    </w:p>
    <w:p>
      <w:pPr>
        <w:spacing w:after="0" w:line="14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16510</wp:posOffset>
            </wp:positionV>
            <wp:extent cx="716026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760"/>
          </w:cols>
          <w:pgMar w:left="820" w:top="577" w:right="319" w:bottom="1440" w:gutter="0" w:footer="0" w:header="0"/>
        </w:sectPr>
      </w:pPr>
    </w:p>
    <w:bookmarkStart w:id="199" w:name="page200"/>
    <w:bookmarkEnd w:id="199"/>
    <w:p>
      <w:pPr>
        <w:jc w:val="both"/>
        <w:ind w:left="520" w:hanging="1"/>
        <w:spacing w:after="0" w:line="264" w:lineRule="auto"/>
        <w:tabs>
          <w:tab w:leader="none" w:pos="771"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Adjustments.</w:t>
      </w:r>
      <w:r>
        <w:rPr>
          <w:rFonts w:ascii="Times New Roman" w:cs="Times New Roman" w:eastAsia="Times New Roman" w:hAnsi="Times New Roman"/>
          <w:sz w:val="14"/>
          <w:szCs w:val="14"/>
          <w:color w:val="auto"/>
        </w:rPr>
        <w:t xml:space="preserve"> The Committee or the Board is authorized to make adjustments in the terms and conditions of, and the criteria included in, Awards (including Awards subject to satisfaction of performance goals, or performance goals and conditions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w:t>
      </w:r>
    </w:p>
    <w:p>
      <w:pPr>
        <w:spacing w:after="0" w:line="142" w:lineRule="exact"/>
        <w:rPr>
          <w:rFonts w:ascii="Times New Roman" w:cs="Times New Roman" w:eastAsia="Times New Roman" w:hAnsi="Times New Roman"/>
          <w:sz w:val="14"/>
          <w:szCs w:val="14"/>
          <w:color w:val="auto"/>
        </w:rPr>
      </w:pPr>
    </w:p>
    <w:p>
      <w:pPr>
        <w:jc w:val="both"/>
        <w:ind w:firstLine="3"/>
        <w:spacing w:after="0" w:line="265" w:lineRule="auto"/>
        <w:tabs>
          <w:tab w:leader="none" w:pos="203"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Award Agreements.</w:t>
      </w:r>
      <w:r>
        <w:rPr>
          <w:rFonts w:ascii="Times New Roman" w:cs="Times New Roman" w:eastAsia="Times New Roman" w:hAnsi="Times New Roman"/>
          <w:sz w:val="14"/>
          <w:szCs w:val="14"/>
          <w:color w:val="auto"/>
        </w:rPr>
        <w:t xml:space="preserve"> Each Award Agreement shall either be (a) in writing in a form approved by the Committee and executed by the Company by an officer duly authorized to act on its behalf, or (b)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w:t>
      </w:r>
    </w:p>
    <w:p>
      <w:pPr>
        <w:spacing w:after="0" w:line="316" w:lineRule="exact"/>
        <w:rPr>
          <w:rFonts w:ascii="Times New Roman" w:cs="Times New Roman" w:eastAsia="Times New Roman" w:hAnsi="Times New Roman"/>
          <w:sz w:val="14"/>
          <w:szCs w:val="14"/>
          <w:color w:val="auto"/>
        </w:rPr>
      </w:pPr>
    </w:p>
    <w:p>
      <w:pPr>
        <w:jc w:val="both"/>
        <w:ind w:firstLine="3"/>
        <w:spacing w:after="0" w:line="262" w:lineRule="auto"/>
        <w:tabs>
          <w:tab w:leader="none" w:pos="195"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xml:space="preserve"> The Company and any Related Entity are authorized to withhold from any Award granted, any payment relating to an Award 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maximum statutory withholding required with respect to that Award (or such other limit as the Committee shall impose, including without limitation, any limit imposed to avoid or limit any financial accounting expense relating to the Award).</w:t>
      </w:r>
    </w:p>
    <w:p>
      <w:pPr>
        <w:spacing w:after="0" w:line="147" w:lineRule="exact"/>
        <w:rPr>
          <w:rFonts w:ascii="Times New Roman" w:cs="Times New Roman" w:eastAsia="Times New Roman" w:hAnsi="Times New Roman"/>
          <w:sz w:val="14"/>
          <w:szCs w:val="14"/>
          <w:color w:val="auto"/>
        </w:rPr>
      </w:pPr>
    </w:p>
    <w:p>
      <w:pPr>
        <w:jc w:val="both"/>
        <w:ind w:firstLine="3"/>
        <w:spacing w:after="0" w:line="261" w:lineRule="auto"/>
        <w:tabs>
          <w:tab w:leader="none" w:pos="179"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Changes to the Plan and Awards.</w:t>
      </w:r>
      <w:r>
        <w:rPr>
          <w:rFonts w:ascii="Times New Roman" w:cs="Times New Roman" w:eastAsia="Times New Roman" w:hAnsi="Times New Roman"/>
          <w:sz w:val="14"/>
          <w:szCs w:val="14"/>
          <w:color w:val="auto"/>
        </w:rPr>
        <w:t xml:space="preserve"> The Board may amend, alter, suspend, discontinue or terminate the Plan, or the 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the rules of the Listing Market, and the Board may otherwise, in its discretion, determine to submit other such changes to the Plan to shareholders for approval; provided that, except as otherwise permitted by the Plan or Award Agreement, without the consent of an affected Participant, no such Board action may materially and adversely affect the rights of such Participant under the terms of any previously granted and outstanding Award. The Committee may waive any conditions or rights under, or amend, alter, suspend, discontinue or terminate any Award theretofore granted and any Award Agreement relating thereto, except as otherwise provided in the Plan; provided that, except as otherwise permitted by the Plan or Award Agreement, without the consent of an affected Participant, no such Committee or the Board action may materially and adversely affect the rights of such Participant under terms of such Award.</w:t>
      </w:r>
    </w:p>
    <w:p>
      <w:pPr>
        <w:spacing w:after="0" w:line="14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16510</wp:posOffset>
            </wp:positionV>
            <wp:extent cx="716026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760"/>
          </w:cols>
          <w:pgMar w:left="820" w:top="577" w:right="319" w:bottom="1440" w:gutter="0" w:footer="0" w:header="0"/>
        </w:sectPr>
      </w:pPr>
    </w:p>
    <w:bookmarkStart w:id="200" w:name="page201"/>
    <w:bookmarkEnd w:id="200"/>
    <w:p>
      <w:pPr>
        <w:ind w:left="200" w:hanging="197"/>
        <w:spacing w:after="0"/>
        <w:tabs>
          <w:tab w:leader="none" w:pos="2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Clawback of Benefits.</w:t>
      </w:r>
    </w:p>
    <w:p>
      <w:pPr>
        <w:spacing w:after="0" w:line="183" w:lineRule="exact"/>
        <w:rPr>
          <w:rFonts w:ascii="Times New Roman" w:cs="Times New Roman" w:eastAsia="Times New Roman" w:hAnsi="Times New Roman"/>
          <w:sz w:val="14"/>
          <w:szCs w:val="14"/>
          <w:color w:val="auto"/>
        </w:rPr>
      </w:pPr>
    </w:p>
    <w:p>
      <w:pPr>
        <w:jc w:val="both"/>
        <w:ind w:left="520" w:hanging="1"/>
        <w:spacing w:after="0" w:line="261" w:lineRule="auto"/>
        <w:tabs>
          <w:tab w:leader="none" w:pos="707"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may be unilaterally amended by the Company, without the Participant’s consent, to the extent that the Company in its discretion determines to be necessary or appropriate to comply with any Clawback Policy.</w:t>
      </w:r>
    </w:p>
    <w:p>
      <w:pPr>
        <w:spacing w:after="0" w:line="148" w:lineRule="exact"/>
        <w:rPr>
          <w:rFonts w:ascii="Times New Roman" w:cs="Times New Roman" w:eastAsia="Times New Roman" w:hAnsi="Times New Roman"/>
          <w:sz w:val="14"/>
          <w:szCs w:val="14"/>
          <w:color w:val="auto"/>
        </w:rPr>
      </w:pPr>
    </w:p>
    <w:p>
      <w:pPr>
        <w:jc w:val="both"/>
        <w:ind w:left="520" w:hanging="1"/>
        <w:spacing w:after="0" w:line="262" w:lineRule="auto"/>
        <w:tabs>
          <w:tab w:leader="none" w:pos="757"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Participant, without the consent of the Company, while employed by or providing services to the Company or any Related Entity or after termination of such employment or service, violates a non-competition, non-solicitation or non-disclosure covenant or agreement or otherwise engages in activity that is in conflict with or adverse to the interest of the Company or any Related Entity,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w:t>
      </w:r>
    </w:p>
    <w:p>
      <w:pPr>
        <w:spacing w:after="0" w:line="14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16510</wp:posOffset>
            </wp:positionV>
            <wp:extent cx="716026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760"/>
          </w:cols>
          <w:pgMar w:left="820" w:top="577" w:right="319" w:bottom="1440" w:gutter="0" w:footer="0" w:header="0"/>
        </w:sectPr>
      </w:pPr>
    </w:p>
    <w:bookmarkStart w:id="201" w:name="page202"/>
    <w:bookmarkEnd w:id="201"/>
    <w:p>
      <w:pPr>
        <w:jc w:val="both"/>
        <w:ind w:firstLine="3"/>
        <w:spacing w:after="0" w:line="260" w:lineRule="auto"/>
        <w:tabs>
          <w:tab w:leader="none" w:pos="203"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Limitation on Rights Conferred Under Plan.</w:t>
      </w:r>
      <w:r>
        <w:rPr>
          <w:rFonts w:ascii="Times New Roman" w:cs="Times New Roman" w:eastAsia="Times New Roman" w:hAnsi="Times New Roman"/>
          <w:sz w:val="14"/>
          <w:szCs w:val="14"/>
          <w:color w:val="auto"/>
        </w:rPr>
        <w:t xml:space="preserve"> Neither the Plan nor any action taken hereunder or under any Award shall be 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 in accordance with the terms of an Award. None of the Company, its officers or its directors shall have any fiduciary obligation to the Participant with respect to any Awards unless and until the Participant is duly issued Shares pursuant to the Award on the stock books of the Company in accordance with the terms of an Award. Neither the Company, nor any Related Entity, nor any of their respective officers, directors, representatives or agents is granting any rights under the Plan to the Participant whatsoever, oral or written, express or implied, other than those rights expressly set forth in this Plan or the Award Agreement.</w:t>
      </w:r>
    </w:p>
    <w:p>
      <w:pPr>
        <w:spacing w:after="0" w:line="149" w:lineRule="exact"/>
        <w:rPr>
          <w:rFonts w:ascii="Times New Roman" w:cs="Times New Roman" w:eastAsia="Times New Roman" w:hAnsi="Times New Roman"/>
          <w:sz w:val="14"/>
          <w:szCs w:val="14"/>
          <w:color w:val="auto"/>
        </w:rPr>
      </w:pPr>
    </w:p>
    <w:p>
      <w:pPr>
        <w:jc w:val="both"/>
        <w:ind w:firstLine="3"/>
        <w:spacing w:after="0" w:line="264" w:lineRule="auto"/>
        <w:tabs>
          <w:tab w:leader="none" w:pos="171"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Unfunded Status of Awards; Creation of Trusts.</w:t>
      </w:r>
      <w:r>
        <w:rPr>
          <w:rFonts w:ascii="Times New Roman" w:cs="Times New Roman" w:eastAsia="Times New Roman" w:hAnsi="Times New Roman"/>
          <w:sz w:val="14"/>
          <w:szCs w:val="14"/>
          <w:color w:val="auto"/>
        </w:rPr>
        <w:t xml:space="preserve"> The Plan is intended to constitute an “unfunded” plan for incentive and 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or Related Entity that issues the Award; provided that the Committee may authorize the creation of trusts and deposit therein cash, Shares, other Awards or other property, or make other arrangements to meet the obligations of the Company or Related Entity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42" w:lineRule="exact"/>
        <w:rPr>
          <w:rFonts w:ascii="Times New Roman" w:cs="Times New Roman" w:eastAsia="Times New Roman" w:hAnsi="Times New Roman"/>
          <w:sz w:val="14"/>
          <w:szCs w:val="14"/>
          <w:color w:val="auto"/>
        </w:rPr>
      </w:pPr>
    </w:p>
    <w:p>
      <w:pPr>
        <w:ind w:firstLine="3"/>
        <w:spacing w:after="0" w:line="293" w:lineRule="auto"/>
        <w:tabs>
          <w:tab w:leader="none" w:pos="182"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Nonexclusivity of the Plan.</w:t>
      </w:r>
      <w:r>
        <w:rPr>
          <w:rFonts w:ascii="Times New Roman" w:cs="Times New Roman" w:eastAsia="Times New Roman" w:hAnsi="Times New Roman"/>
          <w:sz w:val="14"/>
          <w:szCs w:val="14"/>
          <w:color w:val="auto"/>
        </w:rPr>
        <w:t xml:space="preserve"> Neither the adoption of the Plan by the Board nor its submission to the shareholders of the Company for approval shall be construed as creating any limitations on the power of the Board or a committee thereof to adopt such other incentive arrangements as it may deem desirable.</w:t>
      </w:r>
    </w:p>
    <w:p>
      <w:pPr>
        <w:spacing w:after="0" w:line="123" w:lineRule="exact"/>
        <w:rPr>
          <w:rFonts w:ascii="Times New Roman" w:cs="Times New Roman" w:eastAsia="Times New Roman" w:hAnsi="Times New Roman"/>
          <w:sz w:val="14"/>
          <w:szCs w:val="14"/>
          <w:color w:val="auto"/>
        </w:rPr>
      </w:pPr>
    </w:p>
    <w:p>
      <w:pPr>
        <w:jc w:val="both"/>
        <w:ind w:firstLine="3"/>
        <w:spacing w:after="0" w:line="268" w:lineRule="auto"/>
        <w:tabs>
          <w:tab w:leader="none" w:pos="203"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Payments in the Event of Forfeitures; Fractional Shares.</w:t>
      </w:r>
      <w:r>
        <w:rPr>
          <w:rFonts w:ascii="Times New Roman" w:cs="Times New Roman" w:eastAsia="Times New Roman" w:hAnsi="Times New Roman"/>
          <w:sz w:val="14"/>
          <w:szCs w:val="14"/>
          <w:color w:val="auto"/>
        </w:rPr>
        <w:t xml:space="preserve"> Unless otherwise determined by the Committee, in the event of a 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41" w:lineRule="exact"/>
        <w:rPr>
          <w:rFonts w:ascii="Times New Roman" w:cs="Times New Roman" w:eastAsia="Times New Roman" w:hAnsi="Times New Roman"/>
          <w:sz w:val="14"/>
          <w:szCs w:val="14"/>
          <w:color w:val="auto"/>
        </w:rPr>
      </w:pPr>
    </w:p>
    <w:p>
      <w:pPr>
        <w:ind w:firstLine="3"/>
        <w:spacing w:after="0" w:line="293" w:lineRule="auto"/>
        <w:tabs>
          <w:tab w:leader="none" w:pos="182"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xml:space="preserve"> Except as otherwise provided in any Award Agreement, the validity, construction and effect of the Plan, any rules and regulations under the Plan, and any Award Agreement shall be determined in accordance with the laws of the State of Delaware, in each case, without giving effect to principles of conflict of laws, and applicable federal law.</w:t>
      </w:r>
    </w:p>
    <w:p>
      <w:pPr>
        <w:spacing w:after="0" w:line="123" w:lineRule="exact"/>
        <w:rPr>
          <w:rFonts w:ascii="Times New Roman" w:cs="Times New Roman" w:eastAsia="Times New Roman" w:hAnsi="Times New Roman"/>
          <w:sz w:val="14"/>
          <w:szCs w:val="14"/>
          <w:color w:val="auto"/>
        </w:rPr>
      </w:pPr>
    </w:p>
    <w:p>
      <w:pPr>
        <w:jc w:val="both"/>
        <w:ind w:firstLine="3"/>
        <w:spacing w:after="0" w:line="275" w:lineRule="auto"/>
        <w:tabs>
          <w:tab w:leader="none" w:pos="243"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Foreign Laws.</w:t>
      </w:r>
      <w:r>
        <w:rPr>
          <w:rFonts w:ascii="Times New Roman" w:cs="Times New Roman" w:eastAsia="Times New Roman" w:hAnsi="Times New Roman"/>
          <w:sz w:val="14"/>
          <w:szCs w:val="14"/>
          <w:color w:val="auto"/>
        </w:rPr>
        <w:t xml:space="preserve"> The Committee shall have the authority to adopt such modifications, procedures, and subplans as may be necessary or desirable to comply with provisions of the laws of foreign countries in which the Company or its Related Entities may operate to assure the viability of the benefits from Awards granted to Participants performing services in such countries and to meet the objectives of the Plan.</w:t>
      </w:r>
    </w:p>
    <w:p>
      <w:pPr>
        <w:spacing w:after="0" w:line="135" w:lineRule="exact"/>
        <w:rPr>
          <w:rFonts w:ascii="Times New Roman" w:cs="Times New Roman" w:eastAsia="Times New Roman" w:hAnsi="Times New Roman"/>
          <w:sz w:val="14"/>
          <w:szCs w:val="14"/>
          <w:color w:val="auto"/>
        </w:rPr>
      </w:pPr>
    </w:p>
    <w:p>
      <w:pPr>
        <w:jc w:val="both"/>
        <w:ind w:firstLine="3"/>
        <w:spacing w:after="0" w:line="272" w:lineRule="auto"/>
        <w:tabs>
          <w:tab w:leader="none" w:pos="214"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Plan Effective Date; Termination of Plan.</w:t>
      </w:r>
      <w:r>
        <w:rPr>
          <w:rFonts w:ascii="Times New Roman" w:cs="Times New Roman" w:eastAsia="Times New Roman" w:hAnsi="Times New Roman"/>
          <w:sz w:val="14"/>
          <w:szCs w:val="14"/>
          <w:color w:val="auto"/>
        </w:rPr>
        <w:t xml:space="preserve"> The Plan originally became effective on the Effective Date, and this amendment and restatement of the Plan shall become effective on October 2, 2026 (the “Restatement Date”).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313" w:lineRule="exact"/>
        <w:rPr>
          <w:rFonts w:ascii="Times New Roman" w:cs="Times New Roman" w:eastAsia="Times New Roman" w:hAnsi="Times New Roman"/>
          <w:sz w:val="14"/>
          <w:szCs w:val="14"/>
          <w:color w:val="auto"/>
        </w:rPr>
      </w:pPr>
    </w:p>
    <w:p>
      <w:pPr>
        <w:ind w:firstLine="3"/>
        <w:spacing w:after="0" w:line="293" w:lineRule="auto"/>
        <w:tabs>
          <w:tab w:leader="none" w:pos="214"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Construction and Interpretation.</w:t>
      </w:r>
      <w:r>
        <w:rPr>
          <w:rFonts w:ascii="Times New Roman" w:cs="Times New Roman" w:eastAsia="Times New Roman" w:hAnsi="Times New Roman"/>
          <w:sz w:val="14"/>
          <w:szCs w:val="14"/>
          <w:color w:val="auto"/>
        </w:rPr>
        <w:t xml:space="preserve"> Whenever used herein, nouns in the singular shall include the plural, and the masculine pronoun shall include the feminine gender. Headings of Articles and Sections hereof are inserted for convenience and reference and constitute no part of the Plan.</w:t>
      </w:r>
    </w:p>
    <w:p>
      <w:pPr>
        <w:spacing w:after="0" w:line="123" w:lineRule="exact"/>
        <w:rPr>
          <w:rFonts w:ascii="Times New Roman" w:cs="Times New Roman" w:eastAsia="Times New Roman" w:hAnsi="Times New Roman"/>
          <w:sz w:val="14"/>
          <w:szCs w:val="14"/>
          <w:color w:val="auto"/>
        </w:rPr>
      </w:pPr>
    </w:p>
    <w:p>
      <w:pPr>
        <w:ind w:firstLine="3"/>
        <w:spacing w:after="0" w:line="293" w:lineRule="auto"/>
        <w:tabs>
          <w:tab w:leader="none" w:pos="203"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xml:space="preserve">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2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16510</wp:posOffset>
            </wp:positionV>
            <wp:extent cx="716026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0760"/>
          </w:cols>
          <w:pgMar w:left="820" w:top="577" w:right="319" w:bottom="1440" w:gutter="0" w:footer="0" w:header="0"/>
        </w:sectPr>
      </w:pPr>
    </w:p>
    <w:bookmarkStart w:id="202" w:name="page203"/>
    <w:bookmarkEnd w:id="202"/>
    <w:p>
      <w:pPr>
        <w:ind w:left="10460"/>
        <w:spacing w:after="0"/>
        <w:rPr>
          <w:sz w:val="20"/>
          <w:szCs w:val="20"/>
          <w:color w:val="auto"/>
        </w:rPr>
      </w:pPr>
      <w:r>
        <w:rPr>
          <w:rFonts w:ascii="Times New Roman" w:cs="Times New Roman" w:eastAsia="Times New Roman" w:hAnsi="Times New Roman"/>
          <w:sz w:val="14"/>
          <w:szCs w:val="14"/>
          <w:b w:val="1"/>
          <w:bCs w:val="1"/>
          <w:color w:val="auto"/>
        </w:rPr>
        <w:t>Exhibit 10.57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1875790</wp:posOffset>
            </wp:positionH>
            <wp:positionV relativeFrom="paragraph">
              <wp:posOffset>127000</wp:posOffset>
            </wp:positionV>
            <wp:extent cx="3416300" cy="4851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1">
                      <a:extLst>
                        <a:ext uri="{28A0092B-C50C-407E-A947-70E740481C1C}"/>
                      </a:extLst>
                    </a:blip>
                    <a:srcRect/>
                    <a:stretch>
                      <a:fillRect/>
                    </a:stretch>
                  </pic:blipFill>
                  <pic:spPr bwMode="auto">
                    <a:xfrm>
                      <a:off x="0" y="0"/>
                      <a:ext cx="3416300" cy="48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EXECUTIVE EMPLOYMENT AGREEMENT</w:t>
      </w:r>
    </w:p>
    <w:p>
      <w:pPr>
        <w:spacing w:after="0" w:line="181" w:lineRule="exact"/>
        <w:rPr>
          <w:sz w:val="20"/>
          <w:szCs w:val="20"/>
          <w:color w:val="auto"/>
        </w:rPr>
      </w:pPr>
    </w:p>
    <w:p>
      <w:pPr>
        <w:jc w:val="both"/>
        <w:ind w:firstLine="517"/>
        <w:spacing w:after="0" w:line="296" w:lineRule="auto"/>
        <w:rPr>
          <w:sz w:val="20"/>
          <w:szCs w:val="20"/>
          <w:color w:val="auto"/>
        </w:rPr>
      </w:pPr>
      <w:r>
        <w:rPr>
          <w:rFonts w:ascii="Times New Roman" w:cs="Times New Roman" w:eastAsia="Times New Roman" w:hAnsi="Times New Roman"/>
          <w:sz w:val="14"/>
          <w:szCs w:val="14"/>
          <w:color w:val="auto"/>
        </w:rPr>
        <w:t>THIS EXECUTIVE EMPLOYMENT AGREEMENT (this “</w:t>
      </w:r>
      <w:r>
        <w:rPr>
          <w:rFonts w:ascii="Times New Roman" w:cs="Times New Roman" w:eastAsia="Times New Roman" w:hAnsi="Times New Roman"/>
          <w:sz w:val="14"/>
          <w:szCs w:val="14"/>
          <w:i w:val="1"/>
          <w:iCs w:val="1"/>
          <w:color w:val="auto"/>
        </w:rPr>
        <w:t>Agreement</w:t>
      </w:r>
      <w:r>
        <w:rPr>
          <w:rFonts w:ascii="Times New Roman" w:cs="Times New Roman" w:eastAsia="Times New Roman" w:hAnsi="Times New Roman"/>
          <w:sz w:val="14"/>
          <w:szCs w:val="14"/>
          <w:color w:val="auto"/>
        </w:rPr>
        <w:t>”) is entered into on September 11, 2026 (the “</w:t>
      </w:r>
      <w:r>
        <w:rPr>
          <w:rFonts w:ascii="Times New Roman" w:cs="Times New Roman" w:eastAsia="Times New Roman" w:hAnsi="Times New Roman"/>
          <w:sz w:val="14"/>
          <w:szCs w:val="14"/>
          <w:i w:val="1"/>
          <w:iCs w:val="1"/>
          <w:color w:val="auto"/>
        </w:rPr>
        <w:t>Execution Date</w:t>
      </w:r>
      <w:r>
        <w:rPr>
          <w:rFonts w:ascii="Times New Roman" w:cs="Times New Roman" w:eastAsia="Times New Roman" w:hAnsi="Times New Roman"/>
          <w:sz w:val="14"/>
          <w:szCs w:val="14"/>
          <w:color w:val="auto"/>
        </w:rPr>
        <w:t>”), and is effective as of July 25, 2025 (the “</w:t>
      </w:r>
      <w:r>
        <w:rPr>
          <w:rFonts w:ascii="Times New Roman" w:cs="Times New Roman" w:eastAsia="Times New Roman" w:hAnsi="Times New Roman"/>
          <w:sz w:val="14"/>
          <w:szCs w:val="14"/>
          <w:i w:val="1"/>
          <w:iCs w:val="1"/>
          <w:color w:val="auto"/>
        </w:rPr>
        <w:t>Effective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Date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Commencement Date</w:t>
      </w:r>
      <w:r>
        <w:rPr>
          <w:rFonts w:ascii="Times New Roman" w:cs="Times New Roman" w:eastAsia="Times New Roman" w:hAnsi="Times New Roman"/>
          <w:sz w:val="14"/>
          <w:szCs w:val="14"/>
          <w:color w:val="auto"/>
        </w:rPr>
        <w:t>”), by and between Mobix Labs, Inc., a Delaware corporation (the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and Philip Sansone (the “</w:t>
      </w:r>
      <w:r>
        <w:rPr>
          <w:rFonts w:ascii="Times New Roman" w:cs="Times New Roman" w:eastAsia="Times New Roman" w:hAnsi="Times New Roman"/>
          <w:sz w:val="14"/>
          <w:szCs w:val="14"/>
          <w:i w:val="1"/>
          <w:iCs w:val="1"/>
          <w:color w:val="auto"/>
        </w:rPr>
        <w:t>Executive</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RECITALS</w:t>
      </w:r>
    </w:p>
    <w:p>
      <w:pPr>
        <w:spacing w:after="0" w:line="181" w:lineRule="exact"/>
        <w:rPr>
          <w:sz w:val="20"/>
          <w:szCs w:val="20"/>
          <w:color w:val="auto"/>
        </w:rPr>
      </w:pPr>
    </w:p>
    <w:p>
      <w:pPr>
        <w:jc w:val="both"/>
        <w:ind w:firstLine="517"/>
        <w:spacing w:after="0" w:line="276" w:lineRule="auto"/>
        <w:rPr>
          <w:sz w:val="20"/>
          <w:szCs w:val="20"/>
          <w:color w:val="auto"/>
        </w:rPr>
      </w:pPr>
      <w:r>
        <w:rPr>
          <w:rFonts w:ascii="Times New Roman" w:cs="Times New Roman" w:eastAsia="Times New Roman" w:hAnsi="Times New Roman"/>
          <w:sz w:val="14"/>
          <w:szCs w:val="14"/>
          <w:color w:val="auto"/>
        </w:rPr>
        <w:t>WHEREAS, pursuant to a unanimous written consent of the Board of Directors of the Company (the “</w:t>
      </w:r>
      <w:r>
        <w:rPr>
          <w:rFonts w:ascii="Times New Roman" w:cs="Times New Roman" w:eastAsia="Times New Roman" w:hAnsi="Times New Roman"/>
          <w:sz w:val="14"/>
          <w:szCs w:val="14"/>
          <w:i w:val="1"/>
          <w:iCs w:val="1"/>
          <w:color w:val="auto"/>
        </w:rPr>
        <w:t>Board</w:t>
      </w:r>
      <w:r>
        <w:rPr>
          <w:rFonts w:ascii="Times New Roman" w:cs="Times New Roman" w:eastAsia="Times New Roman" w:hAnsi="Times New Roman"/>
          <w:sz w:val="14"/>
          <w:szCs w:val="14"/>
          <w:color w:val="auto"/>
        </w:rPr>
        <w:t>”) dated July 22, 2025 (the “</w:t>
      </w:r>
      <w:r>
        <w:rPr>
          <w:rFonts w:ascii="Times New Roman" w:cs="Times New Roman" w:eastAsia="Times New Roman" w:hAnsi="Times New Roman"/>
          <w:sz w:val="14"/>
          <w:szCs w:val="14"/>
          <w:i w:val="1"/>
          <w:iCs w:val="1"/>
          <w:color w:val="auto"/>
        </w:rPr>
        <w:t>Consent</w:t>
      </w:r>
      <w:r>
        <w:rPr>
          <w:rFonts w:ascii="Times New Roman" w:cs="Times New Roman" w:eastAsia="Times New Roman" w:hAnsi="Times New Roman"/>
          <w:sz w:val="14"/>
          <w:szCs w:val="14"/>
          <w:color w:val="auto"/>
        </w:rPr>
        <w:t>”), the Board appointed the Executive as Chief Executive Officer of the Company, effective as of July 25, 2025, and authorized the officers of the Company to take all actions and to execute and deliver all agreements, documents and instruments as may be necessary or appropriate to carry out the intent and purposes of the resolutions set forth therein;</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WHEREAS, the Executive has served continuously as the Company’s Chief Executive Officer since July 25, 2025 and as a Class I member of the Board since such date;</w:t>
      </w:r>
    </w:p>
    <w:p>
      <w:pPr>
        <w:spacing w:after="0" w:line="18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WHEREAS, on or about July 25, 2025, this Agreement, in substantially the form hereof, was circulated for execution, and the Compensation Committee of the Board reviewed and approved its terms, but through administrative oversight this Agreement was inadvertently not executed at that time;</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WHEREAS, since July 25, 2025, the Company and the Executive have performed in accordance with the terms of this Agreement, including with respect to the Executive’s duties, Base Salary, equity awards and benefits, and the parties intend that this Agreement memorialize the terms and conditions of the Executive’s employment in effect since such date;</w:t>
      </w:r>
    </w:p>
    <w:p>
      <w:pPr>
        <w:spacing w:after="0" w:line="123"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WHEREAS, by this written consent dated September 9 2026, the Compensation Committee of the Board approved this Agreement and ratified, confirmed and approved the Company’s execution and delivery hereof effective as of the Effective Date and all compensation paid and actions taken by the Company consistent with the terms hereof since the Effective Date; and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03" w:name="page204"/>
    <w:bookmarkEnd w:id="203"/>
    <w:p>
      <w:pPr>
        <w:ind w:firstLine="517"/>
        <w:spacing w:after="0" w:line="293" w:lineRule="auto"/>
        <w:rPr>
          <w:sz w:val="20"/>
          <w:szCs w:val="20"/>
          <w:color w:val="auto"/>
        </w:rPr>
      </w:pPr>
      <w:r>
        <w:rPr>
          <w:rFonts w:ascii="Times New Roman" w:cs="Times New Roman" w:eastAsia="Times New Roman" w:hAnsi="Times New Roman"/>
          <w:sz w:val="14"/>
          <w:szCs w:val="14"/>
          <w:color w:val="auto"/>
        </w:rPr>
        <w:t>WHEREAS, the Company and the Executive desire to enter into this Agreement to set forth the terms of the Executive’s employment with the Company during the period beginning on the Effective Date and ending as provided herein;</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NOW, THEREFORE, in consideration of the foregoing and the mutual covenants and agreements hereinafter set forth and intending to be legally bound hereby, the Company and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agree as follows:</w:t>
      </w:r>
    </w:p>
    <w:p>
      <w:pPr>
        <w:spacing w:after="0" w:line="170" w:lineRule="exact"/>
        <w:rPr>
          <w:sz w:val="20"/>
          <w:szCs w:val="20"/>
          <w:color w:val="auto"/>
        </w:rPr>
      </w:pPr>
    </w:p>
    <w:p>
      <w:pPr>
        <w:ind w:left="520" w:hanging="514"/>
        <w:spacing w:after="0"/>
        <w:tabs>
          <w:tab w:leader="none" w:pos="5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Employment.</w:t>
      </w:r>
    </w:p>
    <w:p>
      <w:pPr>
        <w:spacing w:after="0" w:line="183" w:lineRule="exact"/>
        <w:rPr>
          <w:rFonts w:ascii="Times New Roman" w:cs="Times New Roman" w:eastAsia="Times New Roman" w:hAnsi="Times New Roman"/>
          <w:sz w:val="14"/>
          <w:szCs w:val="14"/>
          <w:color w:val="auto"/>
        </w:rPr>
      </w:pPr>
    </w:p>
    <w:p>
      <w:pPr>
        <w:jc w:val="both"/>
        <w:ind w:firstLine="523"/>
        <w:spacing w:after="0" w:line="275" w:lineRule="auto"/>
        <w:tabs>
          <w:tab w:leader="none" w:pos="711" w:val="left"/>
        </w:tabs>
        <w:numPr>
          <w:ilvl w:val="1"/>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Commencement Date</w:t>
      </w:r>
      <w:r>
        <w:rPr>
          <w:rFonts w:ascii="Times New Roman" w:cs="Times New Roman" w:eastAsia="Times New Roman" w:hAnsi="Times New Roman"/>
          <w:sz w:val="14"/>
          <w:szCs w:val="14"/>
          <w:color w:val="auto"/>
        </w:rPr>
        <w:t>. The Recitals set forth above are hereby incorporated into this Agreement as though set forth in their entirety herein. The Company hereby agrees to employ the Executive, and the Executive hereby agrees to be employed by the Company, subject to the terms and conditions of this Agreement as of the Effective Date, or such date that the Executive begins employment, whichever is earlier (“Commencement Date”).</w:t>
      </w:r>
    </w:p>
    <w:p>
      <w:pPr>
        <w:spacing w:after="0" w:line="135" w:lineRule="exact"/>
        <w:rPr>
          <w:rFonts w:ascii="Times New Roman" w:cs="Times New Roman" w:eastAsia="Times New Roman" w:hAnsi="Times New Roman"/>
          <w:sz w:val="14"/>
          <w:szCs w:val="14"/>
          <w:color w:val="auto"/>
        </w:rPr>
      </w:pPr>
    </w:p>
    <w:p>
      <w:pPr>
        <w:jc w:val="both"/>
        <w:ind w:firstLine="523"/>
        <w:spacing w:after="0" w:line="275" w:lineRule="auto"/>
        <w:tabs>
          <w:tab w:leader="none" w:pos="719" w:val="left"/>
        </w:tabs>
        <w:numPr>
          <w:ilvl w:val="1"/>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Duties</w:t>
      </w:r>
      <w:r>
        <w:rPr>
          <w:rFonts w:ascii="Times New Roman" w:cs="Times New Roman" w:eastAsia="Times New Roman" w:hAnsi="Times New Roman"/>
          <w:sz w:val="14"/>
          <w:szCs w:val="14"/>
          <w:color w:val="auto"/>
        </w:rPr>
        <w:t>. The Company hereby employs the Executive in the position of Chief Executive Officer and Board Member effective as of the Commencement Date. The Executive shall have all such responsibilities, duties, and authorities as are consistent and customary, subject to the Company’s Board or its designee’s (“collectively, the “</w:t>
      </w:r>
      <w:r>
        <w:rPr>
          <w:rFonts w:ascii="Times New Roman" w:cs="Times New Roman" w:eastAsia="Times New Roman" w:hAnsi="Times New Roman"/>
          <w:sz w:val="14"/>
          <w:szCs w:val="14"/>
          <w:i w:val="1"/>
          <w:iCs w:val="1"/>
          <w:color w:val="auto"/>
        </w:rPr>
        <w:t>Board</w:t>
      </w:r>
      <w:r>
        <w:rPr>
          <w:rFonts w:ascii="Times New Roman" w:cs="Times New Roman" w:eastAsia="Times New Roman" w:hAnsi="Times New Roman"/>
          <w:sz w:val="14"/>
          <w:szCs w:val="14"/>
          <w:color w:val="auto"/>
        </w:rPr>
        <w:t>”) ability to expand, change or limit such duties, responsibilities, and authority in their sole discretion.</w:t>
      </w:r>
    </w:p>
    <w:p>
      <w:pPr>
        <w:spacing w:after="0" w:line="135" w:lineRule="exact"/>
        <w:rPr>
          <w:rFonts w:ascii="Times New Roman" w:cs="Times New Roman" w:eastAsia="Times New Roman" w:hAnsi="Times New Roman"/>
          <w:sz w:val="14"/>
          <w:szCs w:val="14"/>
          <w:color w:val="auto"/>
        </w:rPr>
      </w:pPr>
    </w:p>
    <w:p>
      <w:pPr>
        <w:jc w:val="both"/>
        <w:ind w:firstLine="523"/>
        <w:spacing w:after="0" w:line="265" w:lineRule="auto"/>
        <w:tabs>
          <w:tab w:leader="none" w:pos="722" w:val="left"/>
        </w:tabs>
        <w:numPr>
          <w:ilvl w:val="1"/>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Full-time Employment</w:t>
      </w:r>
      <w:r>
        <w:rPr>
          <w:rFonts w:ascii="Times New Roman" w:cs="Times New Roman" w:eastAsia="Times New Roman" w:hAnsi="Times New Roman"/>
          <w:sz w:val="14"/>
          <w:szCs w:val="14"/>
          <w:color w:val="auto"/>
        </w:rPr>
        <w:t xml:space="preserve">. The Executive hereby accepts this employment upon the terms and conditions contained herein and agrees to devote substantially all of his business time, attention, and efforts to promote and further the business, interests, objectives, and affairs of the Company,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the foregoing limitations shall not be construed as prohibiting the Executive from serving on civic, charitable or other boards or committees, managing personal or family investments and passive personal investments in securities or from engaging in other activities from time to time, in each case that will not interfere in any material respect with the performance of his duties hereunder. The Executive shall faithfully adhere to, execute, and fulfill in all material respects all policies established by the Company in writing and made available to the Executive, consistent with the other terms of this Agreement.</w:t>
      </w:r>
    </w:p>
    <w:p>
      <w:pPr>
        <w:spacing w:after="0" w:line="144" w:lineRule="exact"/>
        <w:rPr>
          <w:rFonts w:ascii="Times New Roman" w:cs="Times New Roman" w:eastAsia="Times New Roman" w:hAnsi="Times New Roman"/>
          <w:sz w:val="14"/>
          <w:szCs w:val="14"/>
          <w:color w:val="auto"/>
        </w:rPr>
      </w:pPr>
    </w:p>
    <w:p>
      <w:pPr>
        <w:jc w:val="both"/>
        <w:ind w:firstLine="523"/>
        <w:spacing w:after="0" w:line="275" w:lineRule="auto"/>
        <w:tabs>
          <w:tab w:leader="none" w:pos="730" w:val="left"/>
        </w:tabs>
        <w:numPr>
          <w:ilvl w:val="1"/>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Base Salary</w:t>
      </w:r>
      <w:r>
        <w:rPr>
          <w:rFonts w:ascii="Times New Roman" w:cs="Times New Roman" w:eastAsia="Times New Roman" w:hAnsi="Times New Roman"/>
          <w:sz w:val="14"/>
          <w:szCs w:val="14"/>
          <w:color w:val="auto"/>
        </w:rPr>
        <w:t>. During the Term, the Company shall pay the Executive, as compensation for Executive’s services, an annual salary of Three Hundred and Ninety Thousand Dollars ($390,000), subject to applicable federal, state, and local withholding, such salary to be paid to the Executive in the same manner and on the same payroll schedule in which all Company employees receive payment (“</w:t>
      </w:r>
      <w:r>
        <w:rPr>
          <w:rFonts w:ascii="Times New Roman" w:cs="Times New Roman" w:eastAsia="Times New Roman" w:hAnsi="Times New Roman"/>
          <w:sz w:val="14"/>
          <w:szCs w:val="14"/>
          <w:i w:val="1"/>
          <w:iCs w:val="1"/>
          <w:color w:val="auto"/>
        </w:rPr>
        <w:t>Base Salary</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04" w:name="page205"/>
    <w:bookmarkEnd w:id="204"/>
    <w:p>
      <w:pPr>
        <w:ind w:firstLine="523"/>
        <w:spacing w:after="0" w:line="293" w:lineRule="auto"/>
        <w:tabs>
          <w:tab w:leader="none" w:pos="722"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Annual Review</w:t>
      </w:r>
      <w:r>
        <w:rPr>
          <w:rFonts w:ascii="Times New Roman" w:cs="Times New Roman" w:eastAsia="Times New Roman" w:hAnsi="Times New Roman"/>
          <w:sz w:val="14"/>
          <w:szCs w:val="14"/>
          <w:color w:val="auto"/>
        </w:rPr>
        <w:t>. The Executive’s salary will be subject to review annually and may be increased, but not decreased, by the Board based upon the Company’s normal performance review practices. Effective as of the date of any change to the Executive’s Base Salary, the Base Salary as so changed shall be considered the new Base Salary for all purposes of this Agreement.</w:t>
      </w:r>
    </w:p>
    <w:p>
      <w:pPr>
        <w:spacing w:after="0" w:line="123" w:lineRule="exact"/>
        <w:rPr>
          <w:rFonts w:ascii="Times New Roman" w:cs="Times New Roman" w:eastAsia="Times New Roman" w:hAnsi="Times New Roman"/>
          <w:sz w:val="14"/>
          <w:szCs w:val="14"/>
          <w:color w:val="auto"/>
        </w:rPr>
      </w:pPr>
    </w:p>
    <w:p>
      <w:pPr>
        <w:jc w:val="both"/>
        <w:ind w:firstLine="523"/>
        <w:spacing w:after="0" w:line="264" w:lineRule="auto"/>
        <w:tabs>
          <w:tab w:leader="none" w:pos="706"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Bonus</w:t>
      </w:r>
      <w:r>
        <w:rPr>
          <w:rFonts w:ascii="Times New Roman" w:cs="Times New Roman" w:eastAsia="Times New Roman" w:hAnsi="Times New Roman"/>
          <w:sz w:val="14"/>
          <w:szCs w:val="14"/>
          <w:color w:val="auto"/>
        </w:rPr>
        <w:t>. In addition to the Base Salary, the Executive shall be eligible to participate in a discretionary bonus program established and approved by the Board for employees of the Company or its affiliates in similar positions to the Executive (the “</w:t>
      </w:r>
      <w:r>
        <w:rPr>
          <w:rFonts w:ascii="Times New Roman" w:cs="Times New Roman" w:eastAsia="Times New Roman" w:hAnsi="Times New Roman"/>
          <w:sz w:val="14"/>
          <w:szCs w:val="14"/>
          <w:i w:val="1"/>
          <w:iCs w:val="1"/>
          <w:color w:val="auto"/>
        </w:rPr>
        <w:t>Program</w:t>
      </w:r>
      <w:r>
        <w:rPr>
          <w:rFonts w:ascii="Times New Roman" w:cs="Times New Roman" w:eastAsia="Times New Roman" w:hAnsi="Times New Roman"/>
          <w:sz w:val="14"/>
          <w:szCs w:val="14"/>
          <w:color w:val="auto"/>
        </w:rPr>
        <w:t>”) and, pursuant to the Program, the Executive may earn a bonus (the “</w:t>
      </w:r>
      <w:r>
        <w:rPr>
          <w:rFonts w:ascii="Times New Roman" w:cs="Times New Roman" w:eastAsia="Times New Roman" w:hAnsi="Times New Roman"/>
          <w:sz w:val="14"/>
          <w:szCs w:val="14"/>
          <w:i w:val="1"/>
          <w:iCs w:val="1"/>
          <w:color w:val="auto"/>
        </w:rPr>
        <w:t>Target Bonus</w:t>
      </w:r>
      <w:r>
        <w:rPr>
          <w:rFonts w:ascii="Times New Roman" w:cs="Times New Roman" w:eastAsia="Times New Roman" w:hAnsi="Times New Roman"/>
          <w:sz w:val="14"/>
          <w:szCs w:val="14"/>
          <w:color w:val="auto"/>
        </w:rPr>
        <w:t>”) on an annual or other performance period basis (a “</w:t>
      </w:r>
      <w:r>
        <w:rPr>
          <w:rFonts w:ascii="Times New Roman" w:cs="Times New Roman" w:eastAsia="Times New Roman" w:hAnsi="Times New Roman"/>
          <w:sz w:val="14"/>
          <w:szCs w:val="14"/>
          <w:i w:val="1"/>
          <w:iCs w:val="1"/>
          <w:color w:val="auto"/>
        </w:rPr>
        <w:t>Performance Cycle</w:t>
      </w:r>
      <w:r>
        <w:rPr>
          <w:rFonts w:ascii="Times New Roman" w:cs="Times New Roman" w:eastAsia="Times New Roman" w:hAnsi="Times New Roman"/>
          <w:sz w:val="14"/>
          <w:szCs w:val="14"/>
          <w:color w:val="auto"/>
        </w:rPr>
        <w:t xml:space="preserve">”) up to 100% of Base Salary earned and paid during the applicable Performance Cycle or an additional amount as approved by the Board under the Program and in each case based on certain performance criteria; provided that the Executive is actively employed by the Company on the date the Bonuses are paid under the Program, except as provided in </w:t>
      </w:r>
      <w:r>
        <w:rPr>
          <w:rFonts w:ascii="Times New Roman" w:cs="Times New Roman" w:eastAsia="Times New Roman" w:hAnsi="Times New Roman"/>
          <w:sz w:val="14"/>
          <w:szCs w:val="14"/>
          <w:u w:val="single" w:color="auto"/>
          <w:color w:val="auto"/>
        </w:rPr>
        <w:t>Section 4(a)</w:t>
      </w:r>
      <w:r>
        <w:rPr>
          <w:rFonts w:ascii="Times New Roman" w:cs="Times New Roman" w:eastAsia="Times New Roman" w:hAnsi="Times New Roman"/>
          <w:sz w:val="14"/>
          <w:szCs w:val="14"/>
          <w:color w:val="auto"/>
        </w:rPr>
        <w:t xml:space="preserve"> herein. The Bonus may be paid annually or more frequently depending upon the Performance Cycle, as determined by the Board and pursuant to the Program. The Bonus will be specified by the Board, and the Bonus will be reviewed at least annually by the Board.</w:t>
      </w:r>
    </w:p>
    <w:p>
      <w:pPr>
        <w:spacing w:after="0" w:line="142" w:lineRule="exact"/>
        <w:rPr>
          <w:rFonts w:ascii="Times New Roman" w:cs="Times New Roman" w:eastAsia="Times New Roman" w:hAnsi="Times New Roman"/>
          <w:sz w:val="14"/>
          <w:szCs w:val="14"/>
          <w:color w:val="auto"/>
        </w:rPr>
      </w:pPr>
    </w:p>
    <w:p>
      <w:pPr>
        <w:jc w:val="both"/>
        <w:ind w:firstLine="523"/>
        <w:spacing w:after="0" w:line="275" w:lineRule="auto"/>
        <w:tabs>
          <w:tab w:leader="none" w:pos="73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Benefits and Other Compensation</w:t>
      </w:r>
      <w:r>
        <w:rPr>
          <w:rFonts w:ascii="Times New Roman" w:cs="Times New Roman" w:eastAsia="Times New Roman" w:hAnsi="Times New Roman"/>
          <w:sz w:val="14"/>
          <w:szCs w:val="14"/>
          <w:color w:val="auto"/>
        </w:rPr>
        <w:t>. The Executive shall be entitled to (i) participate in all Company employee benefits, policies and arrangements that are applicable to executive officers of the Company or as may, from time to time, be made available to executive officers of the Company, including the Company’s 401(k) plan; (ii) holiday and personal days off as may be made available to executive officers of the Company; and (iii) such other plans, policies and arrangements as may exist and on terms provided to executive officers of the Company,</w:t>
      </w:r>
    </w:p>
    <w:p>
      <w:pPr>
        <w:spacing w:after="0" w:line="135" w:lineRule="exact"/>
        <w:rPr>
          <w:rFonts w:ascii="Times New Roman" w:cs="Times New Roman" w:eastAsia="Times New Roman" w:hAnsi="Times New Roman"/>
          <w:sz w:val="14"/>
          <w:szCs w:val="14"/>
          <w:color w:val="auto"/>
        </w:rPr>
      </w:pPr>
    </w:p>
    <w:p>
      <w:pPr>
        <w:ind w:firstLine="523"/>
        <w:spacing w:after="0" w:line="293" w:lineRule="auto"/>
        <w:tabs>
          <w:tab w:leader="none" w:pos="719"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Equity Awards.</w:t>
      </w:r>
      <w:r>
        <w:rPr>
          <w:rFonts w:ascii="Times New Roman" w:cs="Times New Roman" w:eastAsia="Times New Roman" w:hAnsi="Times New Roman"/>
          <w:sz w:val="14"/>
          <w:szCs w:val="14"/>
          <w:color w:val="auto"/>
        </w:rPr>
        <w:t xml:space="preserve"> The Company will grant the Executive as of the Commencement Date an equity award of one million (1,000,000) restricted stock units, the terms of which will be subject to a restricted stock unit agreement under the Company’s equity incentive plan.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05" w:name="page206"/>
    <w:bookmarkEnd w:id="205"/>
    <w:p>
      <w:pPr>
        <w:ind w:left="520" w:hanging="514"/>
        <w:spacing w:after="0"/>
        <w:tabs>
          <w:tab w:leader="none" w:pos="5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Unrelated to a Change in Control.</w:t>
      </w:r>
    </w:p>
    <w:p>
      <w:pPr>
        <w:spacing w:after="0" w:line="183" w:lineRule="exact"/>
        <w:rPr>
          <w:rFonts w:ascii="Times New Roman" w:cs="Times New Roman" w:eastAsia="Times New Roman" w:hAnsi="Times New Roman"/>
          <w:sz w:val="14"/>
          <w:szCs w:val="14"/>
          <w:color w:val="auto"/>
        </w:rPr>
      </w:pPr>
    </w:p>
    <w:p>
      <w:pPr>
        <w:jc w:val="both"/>
        <w:ind w:firstLine="523"/>
        <w:spacing w:after="0" w:line="260" w:lineRule="auto"/>
        <w:tabs>
          <w:tab w:leader="none" w:pos="711"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Involuntary Termination Unrelated to a Change in Control</w:t>
      </w:r>
      <w:r>
        <w:rPr>
          <w:rFonts w:ascii="Times New Roman" w:cs="Times New Roman" w:eastAsia="Times New Roman" w:hAnsi="Times New Roman"/>
          <w:sz w:val="14"/>
          <w:szCs w:val="14"/>
          <w:color w:val="auto"/>
        </w:rPr>
        <w:t xml:space="preserve">. In the event of (i) an involuntary termination of Executive’s employment by the Company for any reason other than Cause, death, or Disability, or (ii) the Executive’s resignation for Good Reason, and if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does not apply, the Executive shall be entitled to the benefits provided in subsection (b) of this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For purposes of this Agreement, “</w:t>
      </w:r>
      <w:r>
        <w:rPr>
          <w:rFonts w:ascii="Times New Roman" w:cs="Times New Roman" w:eastAsia="Times New Roman" w:hAnsi="Times New Roman"/>
          <w:sz w:val="14"/>
          <w:szCs w:val="14"/>
          <w:u w:val="single" w:color="auto"/>
          <w:color w:val="auto"/>
        </w:rPr>
        <w:t>Good Reason</w:t>
      </w:r>
      <w:r>
        <w:rPr>
          <w:rFonts w:ascii="Times New Roman" w:cs="Times New Roman" w:eastAsia="Times New Roman" w:hAnsi="Times New Roman"/>
          <w:sz w:val="14"/>
          <w:szCs w:val="14"/>
          <w:color w:val="auto"/>
        </w:rPr>
        <w:t>” shall mean the occurrence of one or more of the following, without the Executive’s consent: (i) material diminution of the Executive’s authority, duties or responsibilities; (ii) a material change in the geographic location at which the Executive must perform the Executive’s services under this Agreement (which, for purposes of this Agreement, means relocation of the offices of the Company at which the Executive is principally employed to a location more than one hundred (100) miles from the location of such offices immediately prior to the relocation); (iii) a material diminution in the Executive’s Base Salary; (iv) non-renewal of this Agreement; or (v) any action or inaction that constitutes a material breach by the Company of a material provision of this Agreement. The Executive must provide written notice of termination for Good Reason to the Company within thirty (30) days after the event constituting Good Reason first occurs, which notice shall state such Good Reason in reasonable detail. The Company shall have a period of thirty (30) days in which it may correct the act or failure to act that constitutes the grounds for Good Reason as set forth in the Executive’s notice of termination. If the Company does not correct the act or failure to act, the Executive must terminate the Executive’s employment for Good Reason within sixty (60) days after the end of the cure period, in order for the termination to be considered a Good Reason termination.</w:t>
      </w:r>
    </w:p>
    <w:p>
      <w:pPr>
        <w:spacing w:after="0" w:line="149" w:lineRule="exact"/>
        <w:rPr>
          <w:rFonts w:ascii="Times New Roman" w:cs="Times New Roman" w:eastAsia="Times New Roman" w:hAnsi="Times New Roman"/>
          <w:sz w:val="14"/>
          <w:szCs w:val="14"/>
          <w:color w:val="auto"/>
        </w:rPr>
      </w:pPr>
    </w:p>
    <w:p>
      <w:pPr>
        <w:ind w:left="720" w:hanging="197"/>
        <w:spacing w:after="0"/>
        <w:tabs>
          <w:tab w:leader="none" w:pos="720"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Compensation Upon Termination Unrelated to a Change in Control</w:t>
      </w:r>
      <w:r>
        <w:rPr>
          <w:rFonts w:ascii="Times New Roman" w:cs="Times New Roman" w:eastAsia="Times New Roman" w:hAnsi="Times New Roman"/>
          <w:sz w:val="14"/>
          <w:szCs w:val="14"/>
          <w:color w:val="auto"/>
        </w:rPr>
        <w:t xml:space="preserve">. Subject to the provisions of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hereof, in the event a termination described in subsection (a) of this </w:t>
      </w:r>
      <w:r>
        <w:rPr>
          <w:rFonts w:ascii="Times New Roman" w:cs="Times New Roman" w:eastAsia="Times New Roman" w:hAnsi="Times New Roman"/>
          <w:sz w:val="14"/>
          <w:szCs w:val="14"/>
          <w:u w:val="single" w:color="auto"/>
          <w:color w:val="auto"/>
        </w:rPr>
        <w:t>Section</w:t>
      </w:r>
    </w:p>
    <w:p>
      <w:pPr>
        <w:spacing w:after="0" w:line="2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2</w:t>
      </w:r>
      <w:r>
        <w:rPr>
          <w:rFonts w:ascii="Times New Roman" w:cs="Times New Roman" w:eastAsia="Times New Roman" w:hAnsi="Times New Roman"/>
          <w:sz w:val="14"/>
          <w:szCs w:val="14"/>
          <w:color w:val="auto"/>
        </w:rPr>
        <w:t xml:space="preserve"> occurs, the Company shall provide the Executive with the following, provided that the Executive executes and does not revoke the Release (as defined in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w:t>
      </w:r>
    </w:p>
    <w:p>
      <w:pPr>
        <w:spacing w:after="0" w:line="169" w:lineRule="exact"/>
        <w:rPr>
          <w:rFonts w:ascii="Times New Roman" w:cs="Times New Roman" w:eastAsia="Times New Roman" w:hAnsi="Times New Roman"/>
          <w:sz w:val="14"/>
          <w:szCs w:val="14"/>
          <w:color w:val="auto"/>
        </w:rPr>
      </w:pPr>
    </w:p>
    <w:p>
      <w:pPr>
        <w:jc w:val="both"/>
        <w:ind w:firstLine="1011"/>
        <w:spacing w:after="0" w:line="268" w:lineRule="auto"/>
        <w:tabs>
          <w:tab w:leader="none" w:pos="1177" w:val="left"/>
        </w:tabs>
        <w:numPr>
          <w:ilvl w:val="2"/>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times (2x) the sum of Base Salary and Target Bonus, paid in a single lump sum cash payment on the thirtieth (30th) day following the Executive’s Termination Date. For purposes of this subsection (i), Base Salary means the Executive’s Base Salary in effect immediately prior to the Termination Date (or, if higher, the Base Salary in effect immediately prior to any material reduction that constitutes Good Reason under Section 2(a)). For purposes of this subsection (i), Target Bonus means the Executive’s Target Bonus opportunity in effect for the fiscal year in which the Termination Date occurs (or, if higher, the Target Bonus opportunity in effect immediately prior to any material reduction that constitutes Good Reason under Section 2(a)).</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06" w:name="page207"/>
    <w:bookmarkEnd w:id="206"/>
    <w:p>
      <w:pPr>
        <w:jc w:val="both"/>
        <w:ind w:firstLine="1011"/>
        <w:spacing w:after="0" w:line="260" w:lineRule="auto"/>
        <w:tabs>
          <w:tab w:leader="none" w:pos="1244" w:val="left"/>
        </w:tabs>
        <w:numPr>
          <w:ilvl w:val="2"/>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period of up to twenty-four (24) months following the Executive’s Termination Date, the Executive and where applicable, the Executive’s spouse and eligible dependents, will continue to be eligible to receive medical coverage under the Company’s medical plans in accordance with the terms of the applicable plan documents; provided, that in order to receive such continued coverage at such rates the Company shall either (A) pay the applicable premiums directly to the plan provider on a monthly basis or (B) reimburse the Executive within fifteen (15) days after the Executive submits reasonable proof of payment. Notwithstanding the foregoing, if the Executive obtains full-time employment during this twenty-four (24) month period that entitles him and his spouse and eligible dependents to comprehensive medical coverage, the Executive must notify the Company, and no further reimbursements will be paid by the Company to the Executive pursuant to this subsection. In addition, if coverage is lost due solely to non-payment, the Company’s obligation shall cease only after the Company provides written notice and the Executive fails to cure such non-payment within ten (10) business days after receipt of such notice. Notwithstanding the above, if the Company determines in good faith, based on advice of outside counsel, that providing such benefit would violate applicable law (including, without limitation, Section 2716 of the Public Health Service Act), the Company shall in lieu thereof provide to the Executive a taxable lump-sum payment in an amount equal to the monthly (or then remaining) COBRA premium that the Executive would be required to pay to continue his group health coverage in effect on the Termination Date (which amount shall be based on the premium for the first month of COBRA coverage). Alternatively, should the Executive elect to maintain his own individual health insurance policy rather than that provided by the Company, the Company will reimburse the Executive the personal medical and dental insurance policy premiums on a monthly basis for the Executive, the Executive’s spouse, and eligible dependents.</w:t>
      </w:r>
    </w:p>
    <w:p>
      <w:pPr>
        <w:spacing w:after="0" w:line="145" w:lineRule="exact"/>
        <w:rPr>
          <w:rFonts w:ascii="Times New Roman" w:cs="Times New Roman" w:eastAsia="Times New Roman" w:hAnsi="Times New Roman"/>
          <w:sz w:val="14"/>
          <w:szCs w:val="14"/>
          <w:color w:val="auto"/>
        </w:rPr>
      </w:pPr>
    </w:p>
    <w:p>
      <w:pPr>
        <w:jc w:val="both"/>
        <w:ind w:firstLine="1011"/>
        <w:spacing w:after="0" w:line="275" w:lineRule="auto"/>
        <w:tabs>
          <w:tab w:leader="none" w:pos="1261" w:val="left"/>
        </w:tabs>
        <w:numPr>
          <w:ilvl w:val="2"/>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outstanding Company stock equity award, including stock options, Restricted Stock, or Restricted Stock Units (collectively “Equity Incentive Awards”) held by the Executive as of his Termination Date, such Equity Incentive Awards, the rights of the Executive as of the Termination Date shall be dictated pursuant to an applicable Equity Incentive Awards agreement, if any.</w:t>
      </w:r>
    </w:p>
    <w:p>
      <w:pPr>
        <w:spacing w:after="0" w:line="135" w:lineRule="exact"/>
        <w:rPr>
          <w:rFonts w:ascii="Times New Roman" w:cs="Times New Roman" w:eastAsia="Times New Roman" w:hAnsi="Times New Roman"/>
          <w:sz w:val="14"/>
          <w:szCs w:val="14"/>
          <w:color w:val="auto"/>
        </w:rPr>
      </w:pPr>
    </w:p>
    <w:p>
      <w:pPr>
        <w:ind w:firstLine="1011"/>
        <w:spacing w:after="0" w:line="293" w:lineRule="auto"/>
        <w:tabs>
          <w:tab w:leader="none" w:pos="1256" w:val="left"/>
        </w:tabs>
        <w:numPr>
          <w:ilvl w:val="2"/>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Executive shall receive any amounts earned, accrued, or owing but not yet paid to the Executive as of his Termination Date, payable in a lump sum, and any benefits accrued or earned in accordance with the terms of any applicable benefit plans and programs of the Company.</w:t>
      </w:r>
    </w:p>
    <w:p>
      <w:pPr>
        <w:spacing w:after="0" w:line="123"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Related to a Change in Control.</w:t>
      </w:r>
    </w:p>
    <w:p>
      <w:pPr>
        <w:spacing w:after="0" w:line="183" w:lineRule="exact"/>
        <w:rPr>
          <w:rFonts w:ascii="Times New Roman" w:cs="Times New Roman" w:eastAsia="Times New Roman" w:hAnsi="Times New Roman"/>
          <w:sz w:val="14"/>
          <w:szCs w:val="14"/>
          <w:color w:val="auto"/>
        </w:rPr>
      </w:pPr>
    </w:p>
    <w:p>
      <w:pPr>
        <w:jc w:val="both"/>
        <w:ind w:firstLine="523"/>
        <w:spacing w:after="0" w:line="265" w:lineRule="auto"/>
        <w:tabs>
          <w:tab w:leader="none" w:pos="711" w:val="left"/>
        </w:tabs>
        <w:numPr>
          <w:ilvl w:val="1"/>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Involuntary Termination Relating to a Change in Control</w:t>
      </w:r>
      <w:r>
        <w:rPr>
          <w:rFonts w:ascii="Times New Roman" w:cs="Times New Roman" w:eastAsia="Times New Roman" w:hAnsi="Times New Roman"/>
          <w:sz w:val="14"/>
          <w:szCs w:val="14"/>
          <w:color w:val="auto"/>
        </w:rPr>
        <w:t>. In the event the Executive’s employment is terminated on account of (i) an involuntary termination by the Company for any reason other than Cause, death or Disability, or (ii) the Executive voluntarily terminates employment with the Company on account of resignation for Good Reason, in either case that occurs (x) at the same time as, or within the twelve (12) month period following, the consummation of a Change in Control or (y) within the sixty (60) day period prior to the date of a Change in Control where the Change in Control was under consideration at the time of the Executive’s Termination Date, then the Executive shall be entitled to the benefits provided in subsection (b) of this Section 3. For purposes of this Agreement, “</w:t>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shall mean the occurrence of one (1) of the following: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5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6" w:right="319" w:bottom="1440" w:gutter="0" w:footer="0" w:header="0"/>
        </w:sectPr>
      </w:pPr>
    </w:p>
    <w:bookmarkStart w:id="207" w:name="page208"/>
    <w:bookmarkEnd w:id="207"/>
    <w:p>
      <w:pPr>
        <w:jc w:val="both"/>
        <w:ind w:firstLine="1011"/>
        <w:spacing w:after="0" w:line="259" w:lineRule="auto"/>
        <w:tabs>
          <w:tab w:leader="none" w:pos="1174"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u w:val="single" w:color="auto"/>
          <w:color w:val="auto"/>
        </w:rPr>
        <w:t>change in the ownership of the Company</w:t>
      </w:r>
      <w:r>
        <w:rPr>
          <w:rFonts w:ascii="Times New Roman" w:cs="Times New Roman" w:eastAsia="Times New Roman" w:hAnsi="Times New Roman"/>
          <w:sz w:val="14"/>
          <w:szCs w:val="14"/>
          <w:color w:val="auto"/>
        </w:rPr>
        <w:t>” which shall occur on the date that any one (1) Person, or more than one (1) Person acting as a group, becomes the Beneficial Owner of stock in the Company that, together with stock held by such Person or group, constitutes more than 50% of the total fair market value or total voting power of the stock of the Company; provided, however, if any one (1) Person or more than one (1) Person acting as a group, is considered to own more than 50% of the total fair market value or total voting power of the stock of the Company, the acquisition of additional stock by the same person or persons will not be considered a “change in the ownership of the Company” (or to cause a “change in the effective control of the Company” within the meaning of clause (ii) below) and an increase of the effective percentage of stock owned by any one (1) Person, or Persons acting as a group, as a result of a transaction in which the Company acquires its stock in exchange for property will be treated as an acquisition of stock for purposes of this paragraph; provided, further, however, that for purposes of this definition, the following acquisitions shall not constitute a Change in Control: (A) any acquisition by any employee benefit plan (or related trust) sponsored or maintained by the Company or any entity controlled by the Company, (B) any acquisition by investors (immediately prior to such acquisition) in the Company for financing purposes, as determined by the Board in its sole discretion,</w:t>
      </w:r>
    </w:p>
    <w:p>
      <w:pPr>
        <w:jc w:val="both"/>
        <w:ind w:firstLine="6"/>
        <w:spacing w:after="0" w:line="264" w:lineRule="auto"/>
        <w:tabs>
          <w:tab w:leader="none" w:pos="24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acquisition or merger with an entity owned, directly or indirectly, by stockholders of the Company in substantially the same proportions as their ownership of the Company, or (D) an underwriter temporarily holding securities pursuant to an offering of such securities. This clause (i) applies only when there is a transfer of the stock of the Company (or issuance of stock) and stock in the Company remains outstanding after the transaction;</w:t>
      </w:r>
    </w:p>
    <w:p>
      <w:pPr>
        <w:spacing w:after="0" w:line="143" w:lineRule="exact"/>
        <w:rPr>
          <w:rFonts w:ascii="Times New Roman" w:cs="Times New Roman" w:eastAsia="Times New Roman" w:hAnsi="Times New Roman"/>
          <w:sz w:val="14"/>
          <w:szCs w:val="14"/>
          <w:color w:val="auto"/>
        </w:rPr>
      </w:pPr>
    </w:p>
    <w:p>
      <w:pPr>
        <w:jc w:val="both"/>
        <w:ind w:firstLine="1011"/>
        <w:spacing w:after="0" w:line="268" w:lineRule="auto"/>
        <w:tabs>
          <w:tab w:leader="none" w:pos="1208" w:val="left"/>
        </w:tabs>
        <w:numPr>
          <w:ilvl w:val="1"/>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u w:val="single" w:color="auto"/>
          <w:color w:val="auto"/>
        </w:rPr>
        <w:t>merger of the Company</w:t>
      </w:r>
      <w:r>
        <w:rPr>
          <w:rFonts w:ascii="Times New Roman" w:cs="Times New Roman" w:eastAsia="Times New Roman" w:hAnsi="Times New Roman"/>
          <w:sz w:val="14"/>
          <w:szCs w:val="14"/>
          <w:color w:val="auto"/>
        </w:rPr>
        <w:t>” which shall occur on the date any merger, organization, business combination or consolidation of the Company or one (1) of its subsidiaries with or into any other company is consummated, other than a merger, reorganization, business combination or consolidation which would result in the holders of the voting securities of the Company outstanding immediately prior thereto holding securities which represent immediately after such merger, reorganization, business combination or consolidation more than 50% of the combined voting power of the voting securities of the Company or the surviving company or the parent of such surviving company;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6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08" w:name="page209"/>
    <w:bookmarkEnd w:id="208"/>
    <w:p>
      <w:pPr>
        <w:jc w:val="both"/>
        <w:ind w:firstLine="1011"/>
        <w:spacing w:after="0" w:line="261" w:lineRule="auto"/>
        <w:tabs>
          <w:tab w:leader="none" w:pos="1248"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u w:val="single" w:color="auto"/>
          <w:color w:val="auto"/>
        </w:rPr>
        <w:t>change in the effective control of the Company</w:t>
      </w:r>
      <w:r>
        <w:rPr>
          <w:rFonts w:ascii="Times New Roman" w:cs="Times New Roman" w:eastAsia="Times New Roman" w:hAnsi="Times New Roman"/>
          <w:sz w:val="14"/>
          <w:szCs w:val="14"/>
          <w:color w:val="auto"/>
        </w:rPr>
        <w:t>” which shall occur on the date that either (A) any one (1) Person, or more than one (1) Person acting as a group, acquires (or has acquired during the twelve (12) month period ending on the date of the most recent acquisition by such Person or Persons) ownership of stock of the Company possessing 35% or more of the total voting power of the stock of the Company, except for (A) any acquisition by any employee benefit plan (or related trust) sponsored or maintained by the Company or any entity controlled by the Company, or (B) any acquisition by investors (immediately prior to such acquisition) in the Company for financing purposes, as determined by the Board in its sole discretion, (C) any acquisition or merger with an entity owned, directly or indirectly, by stockholders of the Company in substantially the same proportions as their ownership of the Company, or (D) an underwriter temporarily holding securities pursuant to an offering of such securities; or (E) a majority of the members of the Board are replaced during any twelve (12) month period by directors whose appointment or election is not endorsed by a majority of the members of the Board prior to the date of the appointment or election. For purposes of a “change in the effective control of the Company,” if any one (1) Person, or more than one (1) Person acting as a group, is considered to effectively control the Company within the meaning of this clause, the acquisition of additional control of the Company by the same Person or Persons is not considered a “change in the effective control of the Company,” or to cause a “change in the ownership of the Company” within the meaning of the clause above; or</w:t>
      </w:r>
    </w:p>
    <w:p>
      <w:pPr>
        <w:spacing w:after="0" w:line="318" w:lineRule="exact"/>
        <w:rPr>
          <w:rFonts w:ascii="Times New Roman" w:cs="Times New Roman" w:eastAsia="Times New Roman" w:hAnsi="Times New Roman"/>
          <w:sz w:val="14"/>
          <w:szCs w:val="14"/>
          <w:color w:val="auto"/>
        </w:rPr>
      </w:pPr>
    </w:p>
    <w:p>
      <w:pPr>
        <w:jc w:val="both"/>
        <w:ind w:firstLine="1011"/>
        <w:spacing w:after="0" w:line="264" w:lineRule="auto"/>
        <w:tabs>
          <w:tab w:leader="none" w:pos="1245"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u w:val="single" w:color="auto"/>
          <w:color w:val="auto"/>
        </w:rPr>
        <w:t>change in the ownership of a substantial portion of the Company’s assets</w:t>
      </w:r>
      <w:r>
        <w:rPr>
          <w:rFonts w:ascii="Times New Roman" w:cs="Times New Roman" w:eastAsia="Times New Roman" w:hAnsi="Times New Roman"/>
          <w:sz w:val="14"/>
          <w:szCs w:val="14"/>
          <w:color w:val="auto"/>
        </w:rPr>
        <w:t>” which shall occur on the date that any one (1) Person, or more than one (1) Person acting as a group, acquires (or has acquired during the twelve (12) month period ending on the date of the most recent acquisition by such Person or Persons) assets of the Company that have a total gross fair market value equal to or more than 40% of the total gross fair market value of all the assets of the Company immediately prior to such acquisition or acquisitions. For this purpose, gross fair market value means the value of the assets of the Company, or the value of the assets being disposed of, determined without regard to any liabilities associated with such assets. Any transfer of assets to an entity that is controlled by the shareholders of the Company immediately after the transfer, as provided in guidance issued pursuant to the Non-Qualified Deferred Compensation Rules, shall not constitute a Change in Control.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7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09" w:name="page210"/>
    <w:bookmarkEnd w:id="209"/>
    <w:p>
      <w:pPr>
        <w:ind w:firstLine="523"/>
        <w:spacing w:after="0" w:line="293" w:lineRule="auto"/>
        <w:tabs>
          <w:tab w:leader="none" w:pos="73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Compensation Upon Involuntary Termination Relating to a Change in Control</w:t>
      </w:r>
      <w:r>
        <w:rPr>
          <w:rFonts w:ascii="Times New Roman" w:cs="Times New Roman" w:eastAsia="Times New Roman" w:hAnsi="Times New Roman"/>
          <w:sz w:val="14"/>
          <w:szCs w:val="14"/>
          <w:color w:val="auto"/>
        </w:rPr>
        <w:t xml:space="preserve">. Subject to the provisions of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hereof, in the event a termination described in </w:t>
      </w:r>
      <w:r>
        <w:rPr>
          <w:rFonts w:ascii="Times New Roman" w:cs="Times New Roman" w:eastAsia="Times New Roman" w:hAnsi="Times New Roman"/>
          <w:sz w:val="14"/>
          <w:szCs w:val="14"/>
          <w:u w:val="single" w:color="auto"/>
          <w:color w:val="auto"/>
        </w:rPr>
        <w:t>Section 3(a</w:t>
      </w:r>
      <w:r>
        <w:rPr>
          <w:rFonts w:ascii="Times New Roman" w:cs="Times New Roman" w:eastAsia="Times New Roman" w:hAnsi="Times New Roman"/>
          <w:sz w:val="14"/>
          <w:szCs w:val="14"/>
          <w:color w:val="auto"/>
        </w:rPr>
        <w:t>) occurs, the Company shall provide that the following be paid to the Executive after his Termination Date, provided that the Executive executes and does not revoke the Release:</w:t>
      </w:r>
    </w:p>
    <w:p>
      <w:pPr>
        <w:spacing w:after="0" w:line="123" w:lineRule="exact"/>
        <w:rPr>
          <w:rFonts w:ascii="Times New Roman" w:cs="Times New Roman" w:eastAsia="Times New Roman" w:hAnsi="Times New Roman"/>
          <w:sz w:val="14"/>
          <w:szCs w:val="14"/>
          <w:color w:val="auto"/>
        </w:rPr>
      </w:pPr>
    </w:p>
    <w:p>
      <w:pPr>
        <w:jc w:val="both"/>
        <w:ind w:firstLine="1011"/>
        <w:spacing w:after="0" w:line="260" w:lineRule="auto"/>
        <w:tabs>
          <w:tab w:leader="none" w:pos="1186"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Two times (2x) the sum of Base Salary and Target Bonus, paid in a single lump sum cash payment on the thirtieth (30th) day following the Executive’s Termination Date. Notwithstanding the foregoing, to the extent the Executive is entitled to receive the severance benefit payable pursuant to </w:t>
      </w:r>
      <w:r>
        <w:rPr>
          <w:rFonts w:ascii="Times New Roman" w:cs="Times New Roman" w:eastAsia="Times New Roman" w:hAnsi="Times New Roman"/>
          <w:sz w:val="14"/>
          <w:szCs w:val="14"/>
          <w:u w:val="single" w:color="auto"/>
          <w:color w:val="auto"/>
        </w:rPr>
        <w:t>Section 3(b)(i)</w:t>
      </w:r>
      <w:r>
        <w:rPr>
          <w:rFonts w:ascii="Times New Roman" w:cs="Times New Roman" w:eastAsia="Times New Roman" w:hAnsi="Times New Roman"/>
          <w:sz w:val="14"/>
          <w:szCs w:val="14"/>
          <w:color w:val="auto"/>
        </w:rPr>
        <w:t xml:space="preserve"> as a result of a qualifying termination prior to a Change in Control and then becomes entitled to receive the severance benefit payable pursuant to this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as a result of the Change in Control that was considered at the time of the Executive’s Termination Date becoming consummated within sixty (60) days following the Executive’s Termination Date, the Executive shall not receive the severance benefit payable pursuant to this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3(b)(i)</w:t>
      </w:r>
      <w:r>
        <w:rPr>
          <w:rFonts w:ascii="Times New Roman" w:cs="Times New Roman" w:eastAsia="Times New Roman" w:hAnsi="Times New Roman"/>
          <w:sz w:val="14"/>
          <w:szCs w:val="14"/>
          <w:color w:val="auto"/>
        </w:rPr>
        <w:t xml:space="preserve"> of this Agreement, but instead shall receive the severance benefit payable pursuant to this </w:t>
      </w:r>
      <w:r>
        <w:rPr>
          <w:rFonts w:ascii="Times New Roman" w:cs="Times New Roman" w:eastAsia="Times New Roman" w:hAnsi="Times New Roman"/>
          <w:sz w:val="14"/>
          <w:szCs w:val="14"/>
          <w:u w:val="single" w:color="auto"/>
          <w:color w:val="auto"/>
        </w:rPr>
        <w:t>Section 3(b)(i)</w:t>
      </w:r>
      <w:r>
        <w:rPr>
          <w:rFonts w:ascii="Times New Roman" w:cs="Times New Roman" w:eastAsia="Times New Roman" w:hAnsi="Times New Roman"/>
          <w:sz w:val="14"/>
          <w:szCs w:val="14"/>
          <w:color w:val="auto"/>
        </w:rPr>
        <w:t xml:space="preserve"> on the sixtieth (60th) day following the Executive’s Termination Date. For purposes of this subsection (i), Base Salary will mean the largest among the following: the Executive’s Base Salary immediately prior to (A) the Executive’s Termination Date, (B) any reduction of the Executive’s base salary described in the first clause of subsection (i) in the definition of Good Reason, or (C) immediately prior to the Change in Control. For purposes of this subsection (i), Bonus will mean the largest among the following: the Executive’s Target Bonus (A) immediately prior to the Executive’s Termination Date, (B) immediately prior to any reduction of the Executive’s Target Bonus described in the first clause of subsection (i) in the definition of Good Reason, (C) immediately prior to the Change in Control, or (D) the Executive’s Target Bonus opportunity for the fiscal year immediately preceding the fiscal year in which the Change in Control occurs.</w:t>
      </w:r>
    </w:p>
    <w:p>
      <w:pPr>
        <w:spacing w:after="0" w:line="149" w:lineRule="exact"/>
        <w:rPr>
          <w:rFonts w:ascii="Times New Roman" w:cs="Times New Roman" w:eastAsia="Times New Roman" w:hAnsi="Times New Roman"/>
          <w:sz w:val="14"/>
          <w:szCs w:val="14"/>
          <w:color w:val="auto"/>
        </w:rPr>
      </w:pPr>
    </w:p>
    <w:p>
      <w:pPr>
        <w:jc w:val="both"/>
        <w:ind w:firstLine="1011"/>
        <w:spacing w:after="0" w:line="259" w:lineRule="auto"/>
        <w:tabs>
          <w:tab w:leader="none" w:pos="1244"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a period of up to twenty-four (24) months following the Executive’s Termination Date, the Executive and where applicable, the Executive’s spouse and eligible dependents, will continue to be eligible to receive medical coverage under the Company’s medical plans in accordance with the terms of the applicable plan documents; provided, that in order to receive such continued coverage at such rates, the Executive will be required to pay the applicable premiums to the plan provider, and the Company will reimburse the Executive, within sixty (60) days following the date such monthly premium payment is due, an amount equal to the monthly COBRA (or, as applicable, other) premium payment, less applicable tax withholdings. Notwithstanding the foregoing, if the Executive obtains full-time employment during this twenty-four (24) month period that entitles him and his spouse and eligible dependents to comprehensive medical coverage, the Executive must notify the Company, and no further reimbursements will be paid by the Company to the Executive pursuant to this subsection. In addition, if the Executive does not pay the applicable monthly COBRA (or other) premium for a particular month at any time during the twenty-four (24) month period and coverage is lost as a result, no further reimbursements will be paid by the Company to the Executive pursuant to this subsection. Notwithstanding the foregoing, to the extent the Executive is entitled to receive the severance benefit provided pursuant to </w:t>
      </w:r>
      <w:r>
        <w:rPr>
          <w:rFonts w:ascii="Times New Roman" w:cs="Times New Roman" w:eastAsia="Times New Roman" w:hAnsi="Times New Roman"/>
          <w:sz w:val="14"/>
          <w:szCs w:val="14"/>
          <w:u w:val="single" w:color="auto"/>
          <w:color w:val="auto"/>
        </w:rPr>
        <w:t>Section 3(b)(ii)</w:t>
      </w:r>
      <w:r>
        <w:rPr>
          <w:rFonts w:ascii="Times New Roman" w:cs="Times New Roman" w:eastAsia="Times New Roman" w:hAnsi="Times New Roman"/>
          <w:sz w:val="14"/>
          <w:szCs w:val="14"/>
          <w:color w:val="auto"/>
        </w:rPr>
        <w:t xml:space="preserve"> of this Agreement as a result of a qualifying termination prior to a Change in Control, if the Executive becomes entitled to receive the severance benefits payable pursuant to this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as a result of the Change In Control that was considered at the time of the Executive’s Termination Date becoming consummated within sixty (60) days following the Executive’s Termination Date, the Executive shall be entitled to receive the severance benefit provided pursuant to this clause (ii) and not the benefit provided pursuant to </w:t>
      </w:r>
      <w:r>
        <w:rPr>
          <w:rFonts w:ascii="Times New Roman" w:cs="Times New Roman" w:eastAsia="Times New Roman" w:hAnsi="Times New Roman"/>
          <w:sz w:val="14"/>
          <w:szCs w:val="14"/>
          <w:u w:val="single" w:color="auto"/>
          <w:color w:val="auto"/>
        </w:rPr>
        <w:t>Section 3(b)(ii)</w:t>
      </w:r>
      <w:r>
        <w:rPr>
          <w:rFonts w:ascii="Times New Roman" w:cs="Times New Roman" w:eastAsia="Times New Roman" w:hAnsi="Times New Roman"/>
          <w:sz w:val="14"/>
          <w:szCs w:val="14"/>
          <w:color w:val="auto"/>
        </w:rPr>
        <w:t>. Notwithstanding the above, if the Company determines in its sole discretion that it cannot provide the foregoing COBRA benefits without potentially violating applicable law (including, without limitation, Section 2716 of the Public Health Service Act), the Company shall in lieu thereof provide to the Executive a taxable lump-sum payment in an amount equal to the monthly (or then remaining) COBRA premium that the Executive would be required to pay to continue his group health coverage in effect on the Termination Date (which amount shall be based on the premium for the first month of COBRA coverage). Alternatively, should the Executive elect to maintain his own individual health insurance policy rather than that provided by the Company, the Company will reimburse the Executive the personal medical and dental insurance policy premiums on a monthly basis for the Executive, the Executive’s spouse, and eligible dependents.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8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10" w:name="page211"/>
    <w:bookmarkEnd w:id="210"/>
    <w:p>
      <w:pPr>
        <w:jc w:val="both"/>
        <w:ind w:firstLine="1011"/>
        <w:spacing w:after="0" w:line="264" w:lineRule="auto"/>
        <w:tabs>
          <w:tab w:leader="none" w:pos="1274" w:val="left"/>
        </w:tabs>
        <w:numPr>
          <w:ilvl w:val="2"/>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outstanding Company Equity Incentive Awards held by the Executive as of his Termination Date, such Equity Incentive Awards, the rights of the Executive as of the Termination Date shall be dictated pursuant to an applicable Equity Incentive Award agreement, if any. In the event the Executive has been granted any Equity Incentive Award but has not entered into any agreement with the Company pertaining to the terms of such Equity Incentive Award, the Company shall accelerate the vesting of that portion of the Executive’s Equity Incentive Awards, if any, which would have vested and become exercisable within the twenty-four (24) month period after the Executive’s Termination Date, such Equity Incentive Awards (as well as any outstanding Equity Incentive Awards that previously became vested and exercisable) shall remain exercisable, notwithstanding anything in any other agreement governing such Equity Incentive Awards, until (A) a period of one year after the Executive’s Termination Date, or (B) the original term of the option, whichever is greater.</w:t>
      </w:r>
    </w:p>
    <w:p>
      <w:pPr>
        <w:spacing w:after="0" w:line="142" w:lineRule="exact"/>
        <w:rPr>
          <w:rFonts w:ascii="Times New Roman" w:cs="Times New Roman" w:eastAsia="Times New Roman" w:hAnsi="Times New Roman"/>
          <w:sz w:val="14"/>
          <w:szCs w:val="14"/>
          <w:color w:val="auto"/>
        </w:rPr>
      </w:pPr>
    </w:p>
    <w:p>
      <w:pPr>
        <w:ind w:firstLine="1011"/>
        <w:spacing w:after="0" w:line="293" w:lineRule="auto"/>
        <w:tabs>
          <w:tab w:leader="none" w:pos="1256" w:val="left"/>
        </w:tabs>
        <w:numPr>
          <w:ilvl w:val="2"/>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Executive shall receive any amounts earned, accrued, or owing but not yet paid to the Executive as of his Termination Date, payable in a lump sum, and any benefits accrued or earned in accordance with the terms of any applicable benefit plans and programs of the Company.</w:t>
      </w:r>
    </w:p>
    <w:p>
      <w:pPr>
        <w:spacing w:after="0" w:line="123"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Employment on Account of Disability, Death, Cause, or Voluntarily Without Good Reason.</w:t>
      </w:r>
    </w:p>
    <w:p>
      <w:pPr>
        <w:spacing w:after="0" w:line="183" w:lineRule="exact"/>
        <w:rPr>
          <w:rFonts w:ascii="Times New Roman" w:cs="Times New Roman" w:eastAsia="Times New Roman" w:hAnsi="Times New Roman"/>
          <w:sz w:val="14"/>
          <w:szCs w:val="14"/>
          <w:color w:val="auto"/>
        </w:rPr>
      </w:pPr>
    </w:p>
    <w:p>
      <w:pPr>
        <w:jc w:val="both"/>
        <w:ind w:firstLine="523"/>
        <w:spacing w:after="0" w:line="272" w:lineRule="auto"/>
        <w:tabs>
          <w:tab w:leader="none" w:pos="711" w:val="left"/>
        </w:tabs>
        <w:numPr>
          <w:ilvl w:val="1"/>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on Account of Disability</w:t>
      </w:r>
      <w:r>
        <w:rPr>
          <w:rFonts w:ascii="Times New Roman" w:cs="Times New Roman" w:eastAsia="Times New Roman" w:hAnsi="Times New Roman"/>
          <w:sz w:val="14"/>
          <w:szCs w:val="14"/>
          <w:color w:val="auto"/>
        </w:rPr>
        <w:t xml:space="preserve">. Notwithstanding anything in this Agreement to the contrary, if the Executive’s employment terminates on account of Disability, the Executive shall be entitled to receive disability benefits under any disability program maintained by the Company that covers the Executive, and the Executive shall not receive benefits pursuant to </w:t>
      </w:r>
      <w:r>
        <w:rPr>
          <w:rFonts w:ascii="Times New Roman" w:cs="Times New Roman" w:eastAsia="Times New Roman" w:hAnsi="Times New Roman"/>
          <w:sz w:val="14"/>
          <w:szCs w:val="14"/>
          <w:u w:val="single" w:color="auto"/>
          <w:color w:val="auto"/>
        </w:rPr>
        <w:t>Sections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and 3</w:t>
      </w:r>
      <w:r>
        <w:rPr>
          <w:rFonts w:ascii="Times New Roman" w:cs="Times New Roman" w:eastAsia="Times New Roman" w:hAnsi="Times New Roman"/>
          <w:sz w:val="14"/>
          <w:szCs w:val="14"/>
          <w:color w:val="auto"/>
        </w:rPr>
        <w:t xml:space="preserve"> hereof, except that, subject to the provisions of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hereof, the Executive shall be entitled to the following benefits provided that the Executive executes and does not revoke the Release:</w:t>
      </w:r>
    </w:p>
    <w:p>
      <w:pPr>
        <w:spacing w:after="0" w:line="313" w:lineRule="exact"/>
        <w:rPr>
          <w:rFonts w:ascii="Times New Roman" w:cs="Times New Roman" w:eastAsia="Times New Roman" w:hAnsi="Times New Roman"/>
          <w:sz w:val="14"/>
          <w:szCs w:val="14"/>
          <w:color w:val="auto"/>
        </w:rPr>
      </w:pPr>
    </w:p>
    <w:p>
      <w:pPr>
        <w:jc w:val="both"/>
        <w:ind w:firstLine="1011"/>
        <w:spacing w:after="0" w:line="259" w:lineRule="auto"/>
        <w:tabs>
          <w:tab w:leader="none" w:pos="1175" w:val="left"/>
        </w:tabs>
        <w:numPr>
          <w:ilvl w:val="2"/>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times (2x) the sum of Base Salary and Target Bonus, paid in a single lump sum cash payment on the thirtieth (30th) day following the Executive’s Termination Date on an account of disability, and, for a period of up to twenty-four (24) months following the Executive’s Termination Date, the Executive and where applicable, the Executive’s spouse and eligible dependents, will continue to be eligible to receive medical coverage under the Company’s medical plans in accordance with the terms of the applicable plan documents; provided, that in order to receive such continued coverage at such rates, The Executive will be required to pay the applicable premiums to the plan provider, and the Company will reimburse the Executive, within 60 days following the date such monthly premium payment is due, an amount equal to the monthly COBRA premium payment, less applicable tax withholdings. Notwithstanding the foregoing, if the Executive obtains full-time employment during this twenty-four (24) month period that entitles him and his spouse and eligible dependents to comprehensive medical coverage, the Executive must notify the Company, and no further reimbursements will be paid by the Company to the Executive pursuant to this subsection. In addition, if the Executive does not pay the applicable monthly COBRA premium for a particular month at any time during the twenty-four (24) month period and coverage is lost as a result, no further reimbursements will be paid by the Company to the Executive pursuant to this subsection. Notwithstanding the above, if the Company determines in its sole discretion that it cannot provide the foregoing COBRA benefits without potentially violating applicable law (including, without limitation, Section 2716 of the Public Health Service Act), the Company shall in lieu thereof provide to the Executive a taxable lump-sum payment in an amount equal to the monthly (or then remaining) COBRA premium that the Executive would be required to pay to continue his group health coverage in effect on the Termination Date (which amount shall be based on the premium for the first month of COBRA coverage). Alternatively, should the Executive elect to maintain his own individual health insurance policy rather than that provided by the Company, the Company will reimburse the Executive the personal medical and dental insurance policy premiums on a monthly basis for the Executive, the Executive’s spouse, and eligible dependents.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9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1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11" w:name="page212"/>
    <w:bookmarkEnd w:id="211"/>
    <w:p>
      <w:pPr>
        <w:jc w:val="both"/>
        <w:ind w:firstLine="1011"/>
        <w:spacing w:after="0" w:line="264" w:lineRule="auto"/>
        <w:tabs>
          <w:tab w:leader="none" w:pos="1236" w:val="left"/>
        </w:tabs>
        <w:numPr>
          <w:ilvl w:val="1"/>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outstanding Company Equity Incentive Awards held by the Executive as of his Termination Date, such Equity Incentive Awards, the rights of the Executive as of the Termination Date shall be dictated pursuant to an applicable Equity Incentive Award agreement, if any. In the event the Executive has been granted any Equity Incentive Award but has not entered into any agreement with the Company pertaining to the terms of such Equity Incentive Award, the Company shall accelerate the vesting of that portion of the Executive’s Equity Incentive Awards, if any, which would have vested and become exercisable within the twenty-four (24) month period after the Executive’s Termination Date, such Equity Incentive Awards (as well as any outstanding Equity Incentive Awards that previously became vested and exercisable) shall remain exercisable, notwithstanding anything in any other agreement governing such Equity Incentive Awards, until (A) a period of one year after the Executive’s Termination Date, or (B) the original term of the award, whichever is greater.</w:t>
      </w:r>
    </w:p>
    <w:p>
      <w:pPr>
        <w:spacing w:after="0" w:line="142" w:lineRule="exact"/>
        <w:rPr>
          <w:rFonts w:ascii="Times New Roman" w:cs="Times New Roman" w:eastAsia="Times New Roman" w:hAnsi="Times New Roman"/>
          <w:sz w:val="14"/>
          <w:szCs w:val="14"/>
          <w:color w:val="auto"/>
        </w:rPr>
      </w:pPr>
    </w:p>
    <w:p>
      <w:pPr>
        <w:jc w:val="both"/>
        <w:ind w:firstLine="523"/>
        <w:spacing w:after="0" w:line="261" w:lineRule="auto"/>
        <w:tabs>
          <w:tab w:leader="none" w:pos="719"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on Account of Death</w:t>
      </w:r>
      <w:r>
        <w:rPr>
          <w:rFonts w:ascii="Times New Roman" w:cs="Times New Roman" w:eastAsia="Times New Roman" w:hAnsi="Times New Roman"/>
          <w:sz w:val="14"/>
          <w:szCs w:val="14"/>
          <w:color w:val="auto"/>
        </w:rPr>
        <w:t xml:space="preserve">. Notwithstanding anything in this Agreement to the contrary, if the Executive’s employment terminates on account of death, the Executive’s estate shall be entitled to receive death benefits under any death benefit program maintained by the Company that covers the Executive, and the Executive shall not receive benefits pursuant to </w:t>
      </w:r>
      <w:r>
        <w:rPr>
          <w:rFonts w:ascii="Times New Roman" w:cs="Times New Roman" w:eastAsia="Times New Roman" w:hAnsi="Times New Roman"/>
          <w:sz w:val="14"/>
          <w:szCs w:val="14"/>
          <w:u w:val="single" w:color="auto"/>
          <w:color w:val="auto"/>
        </w:rPr>
        <w:t>Sections 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and 4</w:t>
      </w:r>
      <w:r>
        <w:rPr>
          <w:rFonts w:ascii="Times New Roman" w:cs="Times New Roman" w:eastAsia="Times New Roman" w:hAnsi="Times New Roman"/>
          <w:sz w:val="14"/>
          <w:szCs w:val="14"/>
          <w:color w:val="auto"/>
        </w:rPr>
        <w:t xml:space="preserve"> hereof, except that, subject to the provisions of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hereof, the Executive’s estate shall be entitled to the following benefits provided that the Executive’s estate executes and does not revoke the Release: With respect to any outstanding Equity Incentive Awards held by the Executive as of his Termination Date, the Executive’s rights relating to such Equity Incentive Awards shall be dictated pursuant to the term of an applicable equity incentive agreement, if any. In the event the Executive has been granted any Equity Incentive Award but has not entered into any agreement with the Company pertaining to the terms of such Equity Incentive Award, the Company shall accelerate the vesting of that portion of the Executive’s Equity Incentive Awards, if any, which would have vested and become exercisable within the twenty-four (24) month period after the Executive’s Termination Date, such Equity Incentive Awards (as well as any outstanding Equity Incentive Awards that previously became vested and exercisable) to remain exercisable by the Executive’s estate until (A) a period of one (1) year after the Executive’s Termination Date, or (B) the original term of the award, whichever is greater.</w:t>
      </w:r>
    </w:p>
    <w:p>
      <w:pPr>
        <w:spacing w:after="0" w:line="145" w:lineRule="exact"/>
        <w:rPr>
          <w:rFonts w:ascii="Times New Roman" w:cs="Times New Roman" w:eastAsia="Times New Roman" w:hAnsi="Times New Roman"/>
          <w:sz w:val="14"/>
          <w:szCs w:val="14"/>
          <w:color w:val="auto"/>
        </w:rPr>
      </w:pPr>
    </w:p>
    <w:p>
      <w:pPr>
        <w:ind w:firstLine="523"/>
        <w:spacing w:after="0" w:line="293" w:lineRule="auto"/>
        <w:tabs>
          <w:tab w:leader="none" w:pos="711"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on Account of Voluntary Resignation Without Good Reason</w:t>
      </w:r>
      <w:r>
        <w:rPr>
          <w:rFonts w:ascii="Times New Roman" w:cs="Times New Roman" w:eastAsia="Times New Roman" w:hAnsi="Times New Roman"/>
          <w:sz w:val="14"/>
          <w:szCs w:val="14"/>
          <w:color w:val="auto"/>
        </w:rPr>
        <w:t xml:space="preserve">. Notwithstanding anything in this Agreement to the contrary, if the Executive’s employment terminates on account of resignation by the Executive for no reason or any reason other than on account of Good Reason, the Executive shall not receive benefits pursuant to </w:t>
      </w:r>
      <w:r>
        <w:rPr>
          <w:rFonts w:ascii="Times New Roman" w:cs="Times New Roman" w:eastAsia="Times New Roman" w:hAnsi="Times New Roman"/>
          <w:sz w:val="14"/>
          <w:szCs w:val="14"/>
          <w:u w:val="single" w:color="auto"/>
          <w:color w:val="auto"/>
        </w:rPr>
        <w:t>Sections 3 and 4</w:t>
      </w:r>
      <w:r>
        <w:rPr>
          <w:rFonts w:ascii="Times New Roman" w:cs="Times New Roman" w:eastAsia="Times New Roman" w:hAnsi="Times New Roman"/>
          <w:sz w:val="14"/>
          <w:szCs w:val="14"/>
          <w:color w:val="auto"/>
        </w:rPr>
        <w:t xml:space="preserve"> hereof.</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10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12" w:name="page213"/>
    <w:bookmarkEnd w:id="212"/>
    <w:p>
      <w:pPr>
        <w:jc w:val="both"/>
        <w:ind w:firstLine="6"/>
        <w:spacing w:after="0" w:line="265" w:lineRule="auto"/>
        <w:tabs>
          <w:tab w:leader="none" w:pos="149"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Notwithstanding the foregoing, no payments or other benefits under this Agreement shall be made, subject only to accrued compensation, unless the Executive executes, and does not revoke, the Company’s standard written release, substantially in the form as attached hereto as Exhibit A, (the “</w:t>
      </w:r>
      <w:r>
        <w:rPr>
          <w:rFonts w:ascii="Times New Roman" w:cs="Times New Roman" w:eastAsia="Times New Roman" w:hAnsi="Times New Roman"/>
          <w:sz w:val="14"/>
          <w:szCs w:val="14"/>
          <w:i w:val="1"/>
          <w:iCs w:val="1"/>
          <w:color w:val="auto"/>
        </w:rPr>
        <w:t>Release</w:t>
      </w:r>
      <w:r>
        <w:rPr>
          <w:rFonts w:ascii="Times New Roman" w:cs="Times New Roman" w:eastAsia="Times New Roman" w:hAnsi="Times New Roman"/>
          <w:sz w:val="14"/>
          <w:szCs w:val="14"/>
          <w:color w:val="auto"/>
        </w:rPr>
        <w:t>”), of any and all claims against the Company and all related parties with respect to all matters arising out of the Executive’s employment by the Company (other than entitlements under the terms of this Agreement or under any other plans or programs of the Company in which the Executive participated and under which the Executive has accrued or become entitled to a benefit) or termination thereof, with such release being effective not later than sixty (60) days following the Executive’s Termination Date.</w:t>
      </w:r>
    </w:p>
    <w:p>
      <w:pPr>
        <w:spacing w:after="0" w:line="144" w:lineRule="exact"/>
        <w:rPr>
          <w:rFonts w:ascii="Times New Roman" w:cs="Times New Roman" w:eastAsia="Times New Roman" w:hAnsi="Times New Roman"/>
          <w:sz w:val="14"/>
          <w:szCs w:val="14"/>
          <w:color w:val="auto"/>
        </w:rPr>
      </w:pPr>
    </w:p>
    <w:p>
      <w:pPr>
        <w:ind w:firstLine="6"/>
        <w:spacing w:after="0" w:line="293" w:lineRule="auto"/>
        <w:tabs>
          <w:tab w:leader="none" w:pos="148"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Mitigation Obligation. The Executive shall not be required to mitigate the amount of any payment or benefit provided for in this Agreement by seeking other employment or otherwise, nor shall the amount of any payment or benefit provided for herein be reduced by any compensation earned by other employment or otherwise.</w:t>
      </w:r>
    </w:p>
    <w:p>
      <w:pPr>
        <w:spacing w:after="0" w:line="123" w:lineRule="exact"/>
        <w:rPr>
          <w:rFonts w:ascii="Times New Roman" w:cs="Times New Roman" w:eastAsia="Times New Roman" w:hAnsi="Times New Roman"/>
          <w:sz w:val="14"/>
          <w:szCs w:val="14"/>
          <w:color w:val="auto"/>
        </w:rPr>
      </w:pPr>
    </w:p>
    <w:p>
      <w:pPr>
        <w:ind w:firstLine="6"/>
        <w:spacing w:after="0" w:line="293" w:lineRule="auto"/>
        <w:tabs>
          <w:tab w:leader="none" w:pos="147"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Employment Rights. Nothing expressed or implied in this Agreement will create any right or duty on the part of the Company or the Executive to have the Executive remain in the employment of the Company or any subsidiary prior to or following any Change in Control.</w:t>
      </w:r>
    </w:p>
    <w:p>
      <w:pPr>
        <w:spacing w:after="0" w:line="123" w:lineRule="exact"/>
        <w:rPr>
          <w:rFonts w:ascii="Times New Roman" w:cs="Times New Roman" w:eastAsia="Times New Roman" w:hAnsi="Times New Roman"/>
          <w:sz w:val="14"/>
          <w:szCs w:val="14"/>
          <w:color w:val="auto"/>
        </w:rPr>
      </w:pPr>
    </w:p>
    <w:p>
      <w:pPr>
        <w:ind w:firstLine="6"/>
        <w:spacing w:after="0" w:line="293" w:lineRule="auto"/>
        <w:tabs>
          <w:tab w:leader="none" w:pos="143"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Tax Matters. Subject to </w:t>
      </w:r>
      <w:r>
        <w:rPr>
          <w:rFonts w:ascii="Times New Roman" w:cs="Times New Roman" w:eastAsia="Times New Roman" w:hAnsi="Times New Roman"/>
          <w:sz w:val="14"/>
          <w:szCs w:val="14"/>
          <w:u w:val="single" w:color="auto"/>
          <w:color w:val="auto"/>
        </w:rPr>
        <w:t>Sections 1(g) and 16(b)</w:t>
      </w:r>
      <w:r>
        <w:rPr>
          <w:rFonts w:ascii="Times New Roman" w:cs="Times New Roman" w:eastAsia="Times New Roman" w:hAnsi="Times New Roman"/>
          <w:sz w:val="14"/>
          <w:szCs w:val="14"/>
          <w:color w:val="auto"/>
        </w:rPr>
        <w:t>, the Company may withhold from any amounts payable under this Agreement all federal, state, city, or other taxes as the Company is required to withhold pursuant to any applicable law, regulation, or ruling.</w:t>
      </w:r>
    </w:p>
    <w:p>
      <w:pPr>
        <w:spacing w:after="0" w:line="123" w:lineRule="exact"/>
        <w:rPr>
          <w:rFonts w:ascii="Times New Roman" w:cs="Times New Roman" w:eastAsia="Times New Roman" w:hAnsi="Times New Roman"/>
          <w:sz w:val="14"/>
          <w:szCs w:val="14"/>
          <w:color w:val="auto"/>
        </w:rPr>
      </w:pPr>
    </w:p>
    <w:p>
      <w:pPr>
        <w:jc w:val="both"/>
        <w:ind w:firstLine="6"/>
        <w:spacing w:after="0" w:line="265" w:lineRule="auto"/>
        <w:tabs>
          <w:tab w:leader="none" w:pos="148"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 of Agreement. This Agreement shall continue in full force and effect until the second anniversary of the Effective Date (the “</w:t>
      </w:r>
      <w:r>
        <w:rPr>
          <w:rFonts w:ascii="Times New Roman" w:cs="Times New Roman" w:eastAsia="Times New Roman" w:hAnsi="Times New Roman"/>
          <w:sz w:val="14"/>
          <w:szCs w:val="14"/>
          <w:u w:val="single" w:color="auto"/>
          <w:color w:val="auto"/>
        </w:rPr>
        <w:t>Initial Term</w:t>
      </w:r>
      <w:r>
        <w:rPr>
          <w:rFonts w:ascii="Times New Roman" w:cs="Times New Roman" w:eastAsia="Times New Roman" w:hAnsi="Times New Roman"/>
          <w:sz w:val="14"/>
          <w:szCs w:val="14"/>
          <w:color w:val="auto"/>
        </w:rPr>
        <w:t>”), and shall automatically renew for additional two (2) year renewal periods (a “</w:t>
      </w:r>
      <w:r>
        <w:rPr>
          <w:rFonts w:ascii="Times New Roman" w:cs="Times New Roman" w:eastAsia="Times New Roman" w:hAnsi="Times New Roman"/>
          <w:sz w:val="14"/>
          <w:szCs w:val="14"/>
          <w:u w:val="single" w:color="auto"/>
          <w:color w:val="auto"/>
        </w:rPr>
        <w:t>Renewal Term</w:t>
      </w:r>
      <w:r>
        <w:rPr>
          <w:rFonts w:ascii="Times New Roman" w:cs="Times New Roman" w:eastAsia="Times New Roman" w:hAnsi="Times New Roman"/>
          <w:sz w:val="14"/>
          <w:szCs w:val="14"/>
          <w:color w:val="auto"/>
        </w:rPr>
        <w:t>”) if the Executive is employed by the Company on the last day of the Initial Term and on each Renewal Term; provided, however, that within the sixty (60) to ninety (90) day period prior to the expiration of the Initial Term or any Renewal Term, at its discretion, the Board may give notice of non-renewal of this Agreement, or propose for consideration by the Executive, such amendments to the Agreement as it deems appropriate. If the Executive’s employment with the Company terminates during the Initial Term or a Renewal Term, this Agreement shall remain in effect until all of the obligations of the parties hereunder are satisfied or have expired.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11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1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13" w:name="page214"/>
    <w:bookmarkEnd w:id="213"/>
    <w:p>
      <w:pPr>
        <w:jc w:val="both"/>
        <w:ind w:firstLine="6"/>
        <w:spacing w:after="0" w:line="264" w:lineRule="auto"/>
        <w:tabs>
          <w:tab w:leader="none" w:pos="216"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Nonsolicitation. Unless otherwise agreed in writing, during the term of this Agreement, and for a period of twenty-four (24) months following the Date of Termination, The Executive shall not, and shall not assist any other person to (i) solicit for hiring any employee of the Company or any of its affiliates (or any individual who was such an employee at any time within the twelve (12) month period preceding such solicitation), or seek to persuade any employee of the Company or any of its affiliates (or any individual who was such an employee at any time within the twelve (12) month period preceding such action) to discontinue employment, (ii) solicit or encourage any Independent contractor providing services to the Company or any of its affiliates to terminate or diminish its relationship with them; or (iii) seek to persuade any such employee or affiliate of the Company to conduct business with anyone else or any business or activity which competes with the Company or its affiliates.</w:t>
      </w:r>
    </w:p>
    <w:p>
      <w:pPr>
        <w:spacing w:after="0" w:line="142"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Nondisclosure of Confidential Information.</w:t>
      </w:r>
    </w:p>
    <w:p>
      <w:pPr>
        <w:spacing w:after="0" w:line="183" w:lineRule="exact"/>
        <w:rPr>
          <w:rFonts w:ascii="Times New Roman" w:cs="Times New Roman" w:eastAsia="Times New Roman" w:hAnsi="Times New Roman"/>
          <w:sz w:val="14"/>
          <w:szCs w:val="14"/>
          <w:color w:val="auto"/>
        </w:rPr>
      </w:pPr>
    </w:p>
    <w:p>
      <w:pPr>
        <w:jc w:val="both"/>
        <w:ind w:firstLine="523"/>
        <w:spacing w:after="0" w:line="260" w:lineRule="auto"/>
        <w:tabs>
          <w:tab w:leader="none" w:pos="721"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Executive acknowledges that the Company and its affiliates may disclose confidential information to the Executive during the Employment Term to enable him to perform his duties hereunder. The Executive agrees that, except as required by law, regulatory directive or judicial order or as permitted in </w:t>
      </w:r>
      <w:r>
        <w:rPr>
          <w:rFonts w:ascii="Times New Roman" w:cs="Times New Roman" w:eastAsia="Times New Roman" w:hAnsi="Times New Roman"/>
          <w:sz w:val="14"/>
          <w:szCs w:val="14"/>
          <w:u w:val="single" w:color="auto"/>
          <w:color w:val="auto"/>
        </w:rPr>
        <w:t>Section 11(c)</w:t>
      </w:r>
      <w:r>
        <w:rPr>
          <w:rFonts w:ascii="Times New Roman" w:cs="Times New Roman" w:eastAsia="Times New Roman" w:hAnsi="Times New Roman"/>
          <w:sz w:val="14"/>
          <w:szCs w:val="14"/>
          <w:color w:val="auto"/>
        </w:rPr>
        <w:t xml:space="preserve"> below, he will not, without the prior written consent of the Company, during the Employment Term or at any time thereafter, disclose or permit to be disclosed to any third party by any method whatsoever any of the confidential information of the Company or any of its affiliates. For purposes of this Agreement, “</w:t>
      </w:r>
      <w:r>
        <w:rPr>
          <w:rFonts w:ascii="Times New Roman" w:cs="Times New Roman" w:eastAsia="Times New Roman" w:hAnsi="Times New Roman"/>
          <w:sz w:val="14"/>
          <w:szCs w:val="14"/>
          <w:u w:val="single" w:color="auto"/>
          <w:color w:val="auto"/>
        </w:rPr>
        <w:t>confidential information</w:t>
      </w:r>
      <w:r>
        <w:rPr>
          <w:rFonts w:ascii="Times New Roman" w:cs="Times New Roman" w:eastAsia="Times New Roman" w:hAnsi="Times New Roman"/>
          <w:sz w:val="14"/>
          <w:szCs w:val="14"/>
          <w:color w:val="auto"/>
        </w:rPr>
        <w:t>” shall include, but not be limited to, trade secrets, know-how, proprietary, technical, developmental, operating, financial, performance, cost, process, designs, client and prospect information, all samples, models, evaluation boards, reports, tables, data, prototypes, marketing strategies, and product pricing containing or disclosing such information, any and all records, notes, memoranda, data, ideas, processes, methods, techniques, systems, formulas, patents, models, devices, programs, computer software, writings, research, personnel information, or customer information of the Company or any of its affiliates, plans, or any other information of whatever nature in the possession or control of the Company which has not been published or disclosed to the general public (other than by acts of the Executive or his agents in violation of this Agreement), or which gives to the Company or any of its affiliates an opportunity to obtain an advantage over competitors who do not know of or use it. The foregoing covenants will not prohibit the Executive from disclosing confidential or other information to other employees of the Company or to third parties to the extent that such disclosure is necessary to the performance of his duties under this Agreement.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12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14" w:name="page215"/>
    <w:bookmarkEnd w:id="214"/>
    <w:p>
      <w:pPr>
        <w:ind w:firstLine="523"/>
        <w:spacing w:after="0" w:line="293" w:lineRule="auto"/>
        <w:tabs>
          <w:tab w:leader="none" w:pos="728"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Executive further agrees that if his employment hereunder is terminated for any reason, he will not take originals or copies of any and all records, including papers, hardware, evaluation boards, masks, programs, computer software, and documents and all matter of whatever nature containing secret or confidential information of the Company or any of its affiliates.</w:t>
      </w:r>
    </w:p>
    <w:p>
      <w:pPr>
        <w:spacing w:after="0" w:line="123" w:lineRule="exact"/>
        <w:rPr>
          <w:rFonts w:ascii="Times New Roman" w:cs="Times New Roman" w:eastAsia="Times New Roman" w:hAnsi="Times New Roman"/>
          <w:sz w:val="14"/>
          <w:szCs w:val="14"/>
          <w:color w:val="auto"/>
        </w:rPr>
      </w:pPr>
    </w:p>
    <w:p>
      <w:pPr>
        <w:jc w:val="both"/>
        <w:ind w:firstLine="523"/>
        <w:spacing w:after="0" w:line="261" w:lineRule="auto"/>
        <w:tabs>
          <w:tab w:leader="none" w:pos="716"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in this Employment Agreement, nothing in this Employment Agreement, including this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is intended to prohibit the Executive and the Executive is not prohibited from reporting possible violations of law to, filing charges with, or making disclosures protected under the whistleblower provisions of U.S. federal law or regulation, or participating in investigations of U.S. federal law or regulation by the U.S. Securities and Exchange Commission, National Labor Relations Board, Equal Employment Opportunity Commission, the Occupational Safety and Health Administration, the</w:t>
      </w:r>
    </w:p>
    <w:p>
      <w:pPr>
        <w:spacing w:after="0" w:line="1" w:lineRule="exact"/>
        <w:rPr>
          <w:rFonts w:ascii="Times New Roman" w:cs="Times New Roman" w:eastAsia="Times New Roman" w:hAnsi="Times New Roman"/>
          <w:sz w:val="14"/>
          <w:szCs w:val="14"/>
          <w:color w:val="auto"/>
        </w:rPr>
      </w:pPr>
    </w:p>
    <w:p>
      <w:pPr>
        <w:jc w:val="both"/>
        <w:spacing w:after="0" w:line="26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Department of Justice, the U.S. Congress, any U.S. agency Inspector General or any self-regulatory agencies such as the SEC or federal, state or local governmental agencies (collectively, “</w:t>
      </w:r>
      <w:r>
        <w:rPr>
          <w:rFonts w:ascii="Times New Roman" w:cs="Times New Roman" w:eastAsia="Times New Roman" w:hAnsi="Times New Roman"/>
          <w:sz w:val="14"/>
          <w:szCs w:val="14"/>
          <w:u w:val="single" w:color="auto"/>
          <w:color w:val="auto"/>
        </w:rPr>
        <w:t>Government Agencies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u w:val="single" w:color="auto"/>
          <w:color w:val="auto"/>
        </w:rPr>
        <w:t>Government Agency</w:t>
      </w:r>
      <w:r>
        <w:rPr>
          <w:rFonts w:ascii="Times New Roman" w:cs="Times New Roman" w:eastAsia="Times New Roman" w:hAnsi="Times New Roman"/>
          <w:sz w:val="14"/>
          <w:szCs w:val="14"/>
          <w:color w:val="auto"/>
        </w:rPr>
        <w:t>”). Accordingly, the Executive does not need the prior authorization of the Company to make any such reports or disclosures or otherwise communicate with Government Agencies and is not required to notify the Company that he has engaged in any such communication or made any such reports or disclosures. In addition, the Executive is hereby notified that 18 U.S.C. § 1833(b) states as follows:</w:t>
      </w:r>
    </w:p>
    <w:p>
      <w:pPr>
        <w:spacing w:after="0" w:line="144" w:lineRule="exact"/>
        <w:rPr>
          <w:sz w:val="20"/>
          <w:szCs w:val="20"/>
          <w:color w:val="auto"/>
        </w:rPr>
      </w:pPr>
    </w:p>
    <w:p>
      <w:pPr>
        <w:jc w:val="both"/>
        <w:ind w:left="1040" w:right="1040"/>
        <w:spacing w:after="0" w:line="272" w:lineRule="auto"/>
        <w:rPr>
          <w:sz w:val="20"/>
          <w:szCs w:val="20"/>
          <w:color w:val="auto"/>
        </w:rPr>
      </w:pPr>
      <w:r>
        <w:rPr>
          <w:rFonts w:ascii="Times New Roman" w:cs="Times New Roman" w:eastAsia="Times New Roman" w:hAnsi="Times New Roman"/>
          <w:sz w:val="14"/>
          <w:szCs w:val="14"/>
          <w:color w:val="auto"/>
        </w:rPr>
        <w:t>“An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(8) is made in a complaint or other document filed in a lawsuit or other proceeding, if such filing is made under seal.”</w:t>
      </w:r>
    </w:p>
    <w:p>
      <w:pPr>
        <w:spacing w:after="0" w:line="3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Accordingly, notwithstanding anything to the contrary in this Agreement, the Executive understands that he has the right to disclose in confidence trade secrets to federal, state, and local government officials, or to an attorney, for the sole purpose of reporting or investigating a suspected violation of law. The Executive understands that he also has the right to disclose trade secrets in a document filed in a lawsuit or other proceeding, but only if the filing is made under seal and protected from public disclosure. The Executive understands and acknowledges that nothing in this Agreement is intended to conflict with 18 U.S.C. § 1833(b) or create liability for disclosures of trade secrets that are expressly allowed by 18 U.S.C. § 1833(b).</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13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15" w:name="page216"/>
    <w:bookmarkEnd w:id="215"/>
    <w:p>
      <w:pPr>
        <w:jc w:val="both"/>
        <w:ind w:firstLine="6"/>
        <w:spacing w:after="0" w:line="261" w:lineRule="auto"/>
        <w:tabs>
          <w:tab w:leader="none" w:pos="216"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Intellectual Property. The Executive agrees promptly to reduce to writing and to disclose and assign, and hereby does assign, to the Company, its subsidiaries, successors, assigns and nominees, all inventions, discoveries, improvements, copyrightable or patentable material, trademarks, programs, computer software, and ideas concerning the same, capable of use in connection with the business of the Company or any of its affiliates, which the Executive may make or conceive, either solely or jointly with others, during the period of his employment by the Company, its subsidiaries or successors. The Executive agrees, at the Company’s expense, that upon a request by the Company, to execute, acknowledge and deliver to the Company all such papers, including applications for patents, applications for copyright and trademark registrations, and assignments thereof, as may be necessary, and at all times to assist the Company, its parent, subsidiaries, successors, assigns and nominees in every proper way to patent or register said processes, programs, computer software, ideas, inventions, discoveries, improvements, copyrightable or patentable material or trademarks in any and all countries and to vest title thereto in the Company, its parent, subsidiaries, successors, assigns or nominees. Upon a request by the Company, the Executive will promptly report to the Company all discoveries, inventions, or improvements of whatsoever nature conceived or made by him at any time he was employed by the Company, its parent, subsidiaries, or successors. All such discoveries, inventions, and improvements that are applicable in any way to the Company’s business shall be the sole and exclusive property of the Company.</w:t>
      </w:r>
    </w:p>
    <w:p>
      <w:pPr>
        <w:spacing w:after="0" w:line="145"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ARBITRATION AND EQUITABLE RELIEF.</w:t>
      </w:r>
    </w:p>
    <w:p>
      <w:pPr>
        <w:spacing w:after="0" w:line="183" w:lineRule="exact"/>
        <w:rPr>
          <w:rFonts w:ascii="Times New Roman" w:cs="Times New Roman" w:eastAsia="Times New Roman" w:hAnsi="Times New Roman"/>
          <w:sz w:val="14"/>
          <w:szCs w:val="14"/>
          <w:color w:val="auto"/>
        </w:rPr>
      </w:pPr>
    </w:p>
    <w:p>
      <w:pPr>
        <w:jc w:val="both"/>
        <w:ind w:firstLine="523"/>
        <w:spacing w:after="0" w:line="261" w:lineRule="auto"/>
        <w:tabs>
          <w:tab w:leader="none" w:pos="722" w:val="left"/>
        </w:tabs>
        <w:numPr>
          <w:ilvl w:val="1"/>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ARBITRATION</w:t>
      </w:r>
      <w:r>
        <w:rPr>
          <w:rFonts w:ascii="Times New Roman" w:cs="Times New Roman" w:eastAsia="Times New Roman" w:hAnsi="Times New Roman"/>
          <w:sz w:val="14"/>
          <w:szCs w:val="14"/>
          <w:color w:val="auto"/>
        </w:rPr>
        <w:t>. THE COMPANY AND THE EXECUTIVE HEREBY AGREE THAT ANY AND ALL DISPUTES, CLAIMS OR CONTROVERSIES ARISING OUT OF OR RELATING TO THIS AGREEMENT, THE EMPLOYMENT RELATIONSHIP BETWEEN THE PARTIES, THE TERMINATION OF THIS AGREEMENT OR THE TERMINATION OF THE EMPLOYMENT RELATIONSHIP, THAT ARE NOT RESOLVED BY MUTUAL AGREEMENT SHALL BE RESOLVED BY FINAL AND BINDING ARBITRATION BY A NEUTRAL ARBITRATOR. THIS AGREEMENT INCLUDES ANY CLAIMS THAT THE COMPANY MAY HAVE AGAINST THE EXECUTIVE, OR THAT THE EXECUTIVE MAY HAVE AGAINST THE COMPANY OR AGAINST ANY OF ITS OFFICERS, DIRECTORS, EMPLOYEES, AGENTS, OR PARENT, SUBSIDIARY, OR AFFILIATED ENTITIES. THE COMPANY AND THE EXECUTIVE AGREE THAT THIS AGREEMENT SHALL BE ENFORCEABLE UNDER AND SUBJECT TO THE SUBSTANTIVE AND PROCEDURAL PROVISIONS Of THE FEDERAL ARBITRATION ACT, 9 U.S.C. §§1, ET SEQ. THE COMPANY AND THE EXECUTIVE ALSO UNDERSTAND AND AGREE THAT THE COMPANY IS ENGAGED IN TRANSACTIONS INVOLVING INTERSTATE COMMERCE.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14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16" w:name="page217"/>
    <w:bookmarkEnd w:id="216"/>
    <w:p>
      <w:pPr>
        <w:jc w:val="both"/>
        <w:ind w:firstLine="523"/>
        <w:spacing w:after="0" w:line="268" w:lineRule="auto"/>
        <w:tabs>
          <w:tab w:leader="none" w:pos="741"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OPT-OUT RIGHT.</w:t>
      </w:r>
      <w:r>
        <w:rPr>
          <w:rFonts w:ascii="Times New Roman" w:cs="Times New Roman" w:eastAsia="Times New Roman" w:hAnsi="Times New Roman"/>
          <w:sz w:val="14"/>
          <w:szCs w:val="14"/>
          <w:color w:val="auto"/>
        </w:rPr>
        <w:t xml:space="preserve"> NOTWITHSTANDING THE FOREGOING, THE EXECUTIVE MAY OPT OUT OF THIS ARBITRATION PROVISION BY DELIVERING WRITTEN NOTICE TO THE COMPANY WITHIN THIRTY (30) DAYS AFTER THE EFFECTIVE DATE. ANY SUCH OPT-OUT NOTICE SHALL BE SENT IN ACCORDANCE WITH THE NOTICES PROVISION. IF THE EXECUTIVE TIMELY OPTS OUT, THIS SECTION 13 SHALL BE VOID AND OF NO EFFECT AND NEITHER PARTY SHALL HAVE THE RIGHT TO COMPEL ARBITRATION OF COVERED CLAIMS.”</w:t>
      </w:r>
    </w:p>
    <w:p>
      <w:pPr>
        <w:spacing w:after="0" w:line="142" w:lineRule="exact"/>
        <w:rPr>
          <w:sz w:val="20"/>
          <w:szCs w:val="20"/>
          <w:color w:val="auto"/>
        </w:rPr>
      </w:pPr>
    </w:p>
    <w:p>
      <w:pPr>
        <w:jc w:val="both"/>
        <w:ind w:firstLine="523"/>
        <w:spacing w:after="0" w:line="265" w:lineRule="auto"/>
        <w:tabs>
          <w:tab w:leader="none" w:pos="741"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ARBITRATION OVERVIEW.</w:t>
      </w:r>
      <w:r>
        <w:rPr>
          <w:rFonts w:ascii="Times New Roman" w:cs="Times New Roman" w:eastAsia="Times New Roman" w:hAnsi="Times New Roman"/>
          <w:sz w:val="14"/>
          <w:szCs w:val="14"/>
          <w:color w:val="auto"/>
        </w:rPr>
        <w:t xml:space="preserve"> IN ARBITRATION, EACH SIDE OF THE DISPUTE PRESENTS ITS CASE. INCLUDING EVIDENCE TO A NEUTRAL THIRD PARTY, CALLED AN “ARBITRATOR,” RATHER THAN TO A JUDGE OR JURY. THE ARBITRATOR WILL BE AN ATTORNEY OR A RETIRED JUDGE. THE PARTIES ARE ENTITLED TO BE. REPRESENTED BY THEIR OWN LEGAL COUNSEL IN THE ARBITRATION PROCEEDING. AFTER REVIEWING THE EVIDENCE AND CONSIDERING THE ARGUMENTS OF THE PARTIES, THE ARBITRATOR MAKES A DECISION (AWARD) TO RESOLVE THE DISPUTE. THE ARBITRATOR’S DECISION IS FINAL AND BINDING, WHICH MEANS THERE WILL BE NO TRIAL BY A JUDGE OR JURY OR AN APPEAL OF THE ARBITRATOR’S DECISION, EXCEPT AS PROVIDED BY LAW.</w:t>
      </w:r>
    </w:p>
    <w:p>
      <w:pPr>
        <w:spacing w:after="0" w:line="144" w:lineRule="exact"/>
        <w:rPr>
          <w:rFonts w:ascii="Times New Roman" w:cs="Times New Roman" w:eastAsia="Times New Roman" w:hAnsi="Times New Roman"/>
          <w:sz w:val="14"/>
          <w:szCs w:val="14"/>
          <w:color w:val="auto"/>
        </w:rPr>
      </w:pPr>
    </w:p>
    <w:p>
      <w:pPr>
        <w:jc w:val="both"/>
        <w:ind w:firstLine="523"/>
        <w:spacing w:after="0" w:line="259" w:lineRule="auto"/>
        <w:tabs>
          <w:tab w:leader="none" w:pos="711"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CLAIMS COVERED</w:t>
      </w:r>
      <w:r>
        <w:rPr>
          <w:rFonts w:ascii="Times New Roman" w:cs="Times New Roman" w:eastAsia="Times New Roman" w:hAnsi="Times New Roman"/>
          <w:sz w:val="14"/>
          <w:szCs w:val="14"/>
          <w:color w:val="auto"/>
        </w:rPr>
        <w:t xml:space="preserve">. THE CLAIMS COVERED BY THIS AGREEMENT INCLUDE, BUT ARE NOTLIMITED TO, CLAIMS FOR WRONGFUL TERMINATION; BREACH OF ANY CONTRACTOR COVENANT, EXPRESS OR IMPLIED: BREACH OF ANY DUTY OWED TO EITHER PARTY BY THE OTHER, DISCLOSURE OF TRADE SECRETS OR PROPRIETARY INFORMATION, IMPROPER USE OF COMPANY PROPERTY OR EQUIPMENT; PERSONAL, PHYSICAL OR EMOTIONAL INJURY; FRAUD, MISREPRESENTATION, DEFAMATION, OR ANY OTHER TORT CLAIMS; WAGES OR OTHER COMPENSATION DUE; PENALTIES; BENEFITS; REIMBURSEMENT OF EXPENSES; DISCRIMINATION OR HARASSMENT, INCLUDING BUT NOT LIMITED TO DISCRIMINATION OR HARASSMENT BASED ON RACE, SEX, PREGNANCY, RELIGION, NATIONAL ORIGIN, ANCESTRY, AGE, MARITAL STATUS, PHYSICAL DISABILITY, MENTAL DISABILITY, MEDICAL CONDITION, GENETIC CHARACTERISTICS, GENDER EXPRESSION, GENDER IDENTITY, OR SEXUAL ORIENTATION; RETALIATION; VIOLATION OF ANY FEDERAL, STATE OR OTHER GOVERNMENTAL CONSTITUTION, STATUTE, ORDINANCE OR REGULATION (AS ORIGINALLY ENACTED AND AS AMENDED), INCLUDING BUT NOT LIMITED TO TITLE VII OF THE CIVIL RIGHTS ACT OF 1964 (“TITLE VII”), THE AGE DISCRIMINATION EMPLOYMENT ACT OF1967 (“ADEA”), THE AMERICANS WITH DISABILITIES ACT (“APA”), THE FAIR LABOR STANDARDS ACT (“FLSA”), THE EXECUTIVE RETIREMENT INCOME SECURITY ACT (“ERISA”), THE CONSOLIDATED OMNIBUS BUDGET RECONCILIATION ACT (“COBRA”), THE FAMILY AND MEDICAL LEAVE ACT (“FMLA”), THE CALIFORNIA FAIR EMPLOYMENT AND HOUSING ACT (“FEHA”), THE CALIFORNIA FAMILY RIGHTS ACT (“CFRA”), THE CALIFORNIA LABOR CODE, THE CALIFORNIA CIVIL CODE, THE CALIFORNIA WAGE ORDERS. AS USED HEREIN, “CLAIMS” DOES NOT MEAN ANY DISPUTE IF ARBITRATION OF THE DISPUTE IS PROHIBITED BY LAW. EXECUTIVES MAY LEARN MORE ABOUT THEIR LEGAL RIGHTS BY VISITING WEBSITES HOSTED BY FEDERAL AND STATE GOVERNMENTAL AGENCIES. CURRENT II.INKS TO SOME OFTHESE FEDERAL WEBSITES ARE LISTED BELOW, ALTHOUGH THEY ARE SUBJECT TO CHANGE BY THE HOSTING AGENCIES: WWW.DOL.GOV; HTTPS1/WWW.DOL.GOV/GENERAL/TOPICS; AND </w:t>
      </w:r>
      <w:r>
        <w:rPr>
          <w:rFonts w:ascii="Times New Roman" w:cs="Times New Roman" w:eastAsia="Times New Roman" w:hAnsi="Times New Roman"/>
          <w:sz w:val="14"/>
          <w:szCs w:val="14"/>
          <w:u w:val="single" w:color="auto"/>
          <w:color w:val="auto"/>
        </w:rPr>
        <w:t>WWW.EEOC.GOV/.</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15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17" w:name="page218"/>
    <w:bookmarkEnd w:id="217"/>
    <w:p>
      <w:pPr>
        <w:jc w:val="both"/>
        <w:ind w:firstLine="523"/>
        <w:spacing w:after="0" w:line="264" w:lineRule="auto"/>
        <w:tabs>
          <w:tab w:leader="none" w:pos="741"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PROCEDURE</w:t>
      </w:r>
      <w:r>
        <w:rPr>
          <w:rFonts w:ascii="Times New Roman" w:cs="Times New Roman" w:eastAsia="Times New Roman" w:hAnsi="Times New Roman"/>
          <w:sz w:val="14"/>
          <w:szCs w:val="14"/>
          <w:color w:val="auto"/>
        </w:rPr>
        <w:t>. THE EXECUTIVE AGREES THAT ANY ARBITRATION] WILL BE HELD IN THE STATE OF CALIFORNIA ADMINISTERED BY THE AMERICAN ARBITRATION ASSOCIATION (“AAA”) IN ACCORDANCE WITH ITS EMPLOYMENT ARBITRATION RULES THEN IN EFFECT FOR THE RESOLUTION OF EMPLOYMENT DISPUTES. THE EXECUTIVE UNDERSTANDS THAT THE EXECUTIVE MAY OBTAIN A COPY OF THE AAA RULES BY REQUESTING A COPY FROM THE AMERICAN ARBITRATION ASSOCIATION AT 800.778.7879, LOCATED AT 725 S. FIGUEROA ST LOS ANGELES, CA 90017 OR BY ACCESSING THE AAA WEBSITE AT WWW.ADR.ORG. BY SIGNING THIS AGREEMENT, THE EXECUTIVE ACKNOWLEDGES THAT THE EXECUTIVE HAS HAD AN OPPORTUNITY TO REVIEW THE AAA RULES BEFORE SIGNING THIS AGREEMENT. THE NEUTRAL ARBITRATOR WILL BE SELECTED IN A MANNER CONSISTENT WITH THE AAA RULES.</w:t>
      </w:r>
    </w:p>
    <w:p>
      <w:pPr>
        <w:spacing w:after="0" w:line="142" w:lineRule="exact"/>
        <w:rPr>
          <w:rFonts w:ascii="Times New Roman" w:cs="Times New Roman" w:eastAsia="Times New Roman" w:hAnsi="Times New Roman"/>
          <w:sz w:val="14"/>
          <w:szCs w:val="14"/>
          <w:color w:val="auto"/>
        </w:rPr>
      </w:pPr>
    </w:p>
    <w:p>
      <w:pPr>
        <w:jc w:val="both"/>
        <w:ind w:firstLine="523"/>
        <w:spacing w:after="0" w:line="261" w:lineRule="auto"/>
        <w:tabs>
          <w:tab w:leader="none" w:pos="722"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REMEDY</w:t>
      </w:r>
      <w:r>
        <w:rPr>
          <w:rFonts w:ascii="Times New Roman" w:cs="Times New Roman" w:eastAsia="Times New Roman" w:hAnsi="Times New Roman"/>
          <w:sz w:val="14"/>
          <w:szCs w:val="14"/>
          <w:color w:val="auto"/>
        </w:rPr>
        <w:t>. EXCEPT AS PROVIDED BY THE RULES AND THIS AGREEMENT, ARBITRATION SHALL BE THE SOLE, EXCLUSIVE, AND FINAL REMEDY FOR ANY DISPUTE BETWEEN THE COMPANY AND THE EXECUTIVE. ACCORDINGLY, EXCEPT, AS PROVIDED FOR BY THE RULES AND THIS AGREEMENT, COMPANY NOR THE EXECUTIVE WILL BE PERMITTED TO PURSUE COURT ACTION REGARDING CLAIMS THAT ARE SUBJECT TO ARBITRATION. THE ARBITRATOR SHALL BE A STATE AND/OR FEDERAL SUBSTANTIVE LAW TO DETERMINE ISSUES OF LIABILITY AND DAMAGES REGARDING ALL CLAIMS TO BE ARBITRATED. THE ARBITRATOR SHALL HAVE THE POWER TO AWARD ANY REMEDY OR RELIEF THAT WOULD HAVE BEEN AVAILABLE TO THE PARTIES, IN EACH OF THEIR INDIVIDUAL CAPACITY, HAD THE MATTER BEEN HEARD IN COURT. THE ARBITRATOR SHALL HAVE THE AUTHORITY TO PROVIDE FOR THE AWARD OF ATTORNEYS’ FEES AND COSTS TO THE PREVAILING PARTY SUCH AWARD IS AUTHORIZED BY APPLICABLE LAW. THE EXECUTIVE SHALL NOT BE REQUIRED TO PAY ANY COST OR EXPENSE OF THE ARBITRATION THAT THE EXECUTIVE WOULD NOT BE REQUIRED TO PAY IF THE MATTER HAD BEEN HEARD IN COURT. THE COMPANY WILL PAY FOR ARBITRATOR COMPENSATION AND ANY OTHER ADMINISTRATIVE FEES UNIQUE TO ARBITRATION.</w:t>
      </w:r>
    </w:p>
    <w:p>
      <w:pPr>
        <w:spacing w:after="0" w:line="145" w:lineRule="exact"/>
        <w:rPr>
          <w:rFonts w:ascii="Times New Roman" w:cs="Times New Roman" w:eastAsia="Times New Roman" w:hAnsi="Times New Roman"/>
          <w:sz w:val="14"/>
          <w:szCs w:val="14"/>
          <w:color w:val="auto"/>
        </w:rPr>
      </w:pPr>
    </w:p>
    <w:p>
      <w:pPr>
        <w:jc w:val="both"/>
        <w:ind w:firstLine="523"/>
        <w:spacing w:after="0" w:line="268" w:lineRule="auto"/>
        <w:tabs>
          <w:tab w:leader="none" w:pos="696"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AVAILABILITY OF PROVISIONAL RELIEF</w:t>
      </w:r>
      <w:r>
        <w:rPr>
          <w:rFonts w:ascii="Times New Roman" w:cs="Times New Roman" w:eastAsia="Times New Roman" w:hAnsi="Times New Roman"/>
          <w:sz w:val="14"/>
          <w:szCs w:val="14"/>
          <w:color w:val="auto"/>
        </w:rPr>
        <w:t>. NOTHING IN THIS AGREEMENT SHALL PROHIBIT OR LIMIT THE PARTIES FROM SEEKING PROVISIONAL REMEDIES IN CONNECTION WITH AN ARBITRABLE CONTROVERSY INCLUDING, BUT NOT LIMITED TO, INJUNCTIVE RELIEF FROM A COURT OF COMPETENT JURISDICTION IF THE AWARD TO WHICH THE PARTY MAY BE ENTITLED MAY BE RENDERED INEFFECTUAL WITHOUT PROVISIONAL RELIEF, INCLUDING EITHER PARTY’S EFFORT TO PROHIBIT OR STOP THE DISCLOSURE OF CONFIDENTIAL INFORMATION.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16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18" w:name="page219"/>
    <w:bookmarkEnd w:id="218"/>
    <w:p>
      <w:pPr>
        <w:jc w:val="both"/>
        <w:ind w:firstLine="523"/>
        <w:spacing w:after="0" w:line="268" w:lineRule="auto"/>
        <w:tabs>
          <w:tab w:leader="none" w:pos="762"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ADMINISTRATIVE RELIEF.</w:t>
      </w:r>
      <w:r>
        <w:rPr>
          <w:rFonts w:ascii="Times New Roman" w:cs="Times New Roman" w:eastAsia="Times New Roman" w:hAnsi="Times New Roman"/>
          <w:sz w:val="14"/>
          <w:szCs w:val="14"/>
          <w:color w:val="auto"/>
        </w:rPr>
        <w:t xml:space="preserve"> THE EXECUTIVE UNDERSTANDS THAT THIS AGREEMENT DOES NOT PROHIBIT THE EXECUTIVE FROM PURSUING AN ADMINISTRATIVE CLAIM WITH A LOCAL, STATE, OR FEDERAL ADMINISTRATIVE BODY SUCH AS THE CALIFORNIA DEPARTMENT OF FAIR EMPLOYMENT AND HOUSING, THE EQUAL EMPLOYMENT OPPORTUNITY COMMISSION OR THE WORKERS’ COMPENSATION BOARD. THIS AGREEMENT DOES, HOWEVER, PRECLUDE THE EXECUTIVE FROM PURSUING COURT ACTION REGARDING ANY SUCH CLAIM.</w:t>
      </w:r>
    </w:p>
    <w:p>
      <w:pPr>
        <w:spacing w:after="0" w:line="141" w:lineRule="exact"/>
        <w:rPr>
          <w:rFonts w:ascii="Times New Roman" w:cs="Times New Roman" w:eastAsia="Times New Roman" w:hAnsi="Times New Roman"/>
          <w:sz w:val="14"/>
          <w:szCs w:val="14"/>
          <w:color w:val="auto"/>
        </w:rPr>
      </w:pPr>
    </w:p>
    <w:p>
      <w:pPr>
        <w:jc w:val="both"/>
        <w:ind w:firstLine="523"/>
        <w:spacing w:after="0" w:line="264" w:lineRule="auto"/>
        <w:tabs>
          <w:tab w:leader="none" w:pos="762"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VOLUNTARY NATURE OF AGREEMENT.</w:t>
      </w:r>
      <w:r>
        <w:rPr>
          <w:rFonts w:ascii="Times New Roman" w:cs="Times New Roman" w:eastAsia="Times New Roman" w:hAnsi="Times New Roman"/>
          <w:sz w:val="14"/>
          <w:szCs w:val="14"/>
          <w:color w:val="auto"/>
        </w:rPr>
        <w:t xml:space="preserve"> THE EXECUTIVE ACKNOWLEDGES AND AGREES THAT THE EXECUTIVE IS EXECUTING THIS AGREEMENT VOLUNTARILY AND WITHOUT ANY DURESS OR UNDUE INFLUENCE BY THE COMPANY OR ANYONE ELSE. THE EXECUTIVE FURTHER ACKNOWLEDGES AND AGREES THAT THE EXECUTIVE HAS CAREFULLY READ THIS AGREEMENT, AND THAT THE EXECUTIVE HAS ASKED ANY QUESTIONS NEEDED FOR THE EXECUTIVE TO UNDERSTAND THE TERMS, CONSEQUENCES AND BINDING EFFECT OF THIS AGREEMENT AND FULLY UNDERSTAND IT, INCLUDING THAT THE EXECUTIVE IS WAIVING THE EXECUTIVE’S RIGHT TO A JURY TRIAL. THE EXECUTIVE AGREES THAT HE HAS BEEN PROVIDED AN OPPORTUNITY TO SEEK THE ADVICE OF AN ATTORNEY OF THE EXECUTIVE’S CHOICE BEFORE SIGNING THIS AGREEMENT.</w:t>
      </w:r>
    </w:p>
    <w:p>
      <w:pPr>
        <w:spacing w:after="0" w:line="142" w:lineRule="exact"/>
        <w:rPr>
          <w:rFonts w:ascii="Times New Roman" w:cs="Times New Roman" w:eastAsia="Times New Roman" w:hAnsi="Times New Roman"/>
          <w:sz w:val="14"/>
          <w:szCs w:val="14"/>
          <w:color w:val="auto"/>
        </w:rPr>
      </w:pPr>
    </w:p>
    <w:p>
      <w:pPr>
        <w:ind w:left="520" w:hanging="514"/>
        <w:spacing w:after="0"/>
        <w:tabs>
          <w:tab w:leader="none" w:pos="52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Successors and Binding Agreement.</w:t>
      </w:r>
    </w:p>
    <w:p>
      <w:pPr>
        <w:spacing w:after="0" w:line="183" w:lineRule="exact"/>
        <w:rPr>
          <w:rFonts w:ascii="Times New Roman" w:cs="Times New Roman" w:eastAsia="Times New Roman" w:hAnsi="Times New Roman"/>
          <w:sz w:val="14"/>
          <w:szCs w:val="14"/>
          <w:color w:val="auto"/>
        </w:rPr>
      </w:pPr>
    </w:p>
    <w:p>
      <w:pPr>
        <w:jc w:val="both"/>
        <w:ind w:firstLine="523"/>
        <w:spacing w:after="0" w:line="265" w:lineRule="auto"/>
        <w:tabs>
          <w:tab w:leader="none" w:pos="712" w:val="left"/>
        </w:tabs>
        <w:numPr>
          <w:ilvl w:val="1"/>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require any successor (whether direct or indirect, by purchase, merger, consolidation, reorganization or otherwise) to all or substantially all of the business or assets of the Company, by Agreement in form and substance reasonably satisfactory to the Executive, expressly to assume and agree to perform this Agreement in the same manner and to the same extent, the Company would be required to perform if no such succession had taken place. This Agreement will be binding upon and inure to the benefit of the Company and any successor to the Company, including without limitation any persons acquiring directly or indirectly all or substantially all of the business or assets of the Company whether by purchase, merger, consolidation, reorganization or otherwise (and such successor will thereafter be deemed the “Company” for the purposes of this Agreement), but will not otherwise be assignable, transferable or delegable by the Company.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17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19" w:name="page220"/>
    <w:bookmarkEnd w:id="219"/>
    <w:p>
      <w:pPr>
        <w:ind w:left="520"/>
        <w:spacing w:after="0"/>
        <w:rPr>
          <w:sz w:val="20"/>
          <w:szCs w:val="20"/>
          <w:color w:val="auto"/>
        </w:rPr>
      </w:pPr>
      <w:r>
        <w:rPr>
          <w:rFonts w:ascii="Times New Roman" w:cs="Times New Roman" w:eastAsia="Times New Roman" w:hAnsi="Times New Roman"/>
          <w:sz w:val="14"/>
          <w:szCs w:val="14"/>
          <w:color w:val="auto"/>
        </w:rPr>
        <w:t>(b) This Agreement will inure to the benefit of and be enforceable by the Executive’s personal or legal representatives, executors, administrators, successors, heirs, distributes,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legatees.</w:t>
      </w:r>
    </w:p>
    <w:p>
      <w:pPr>
        <w:spacing w:after="0" w:line="170" w:lineRule="exact"/>
        <w:rPr>
          <w:sz w:val="20"/>
          <w:szCs w:val="20"/>
          <w:color w:val="auto"/>
        </w:rPr>
      </w:pPr>
    </w:p>
    <w:p>
      <w:pPr>
        <w:jc w:val="both"/>
        <w:ind w:firstLine="523"/>
        <w:spacing w:after="0" w:line="268" w:lineRule="auto"/>
        <w:tabs>
          <w:tab w:leader="none" w:pos="719"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is personal in nature, and neither of the parties hereto will, without the consent of the other, assign, transfer or delegate this Agreement or any rights or obligations hereunder except as expressly provided in this Section. Without limiting the generality or effect of the foregoing, the Executive’s right to receive payments hereunder will not be assignable, transferable or delegable, whether, by pledge, creation of a security interest, or otherwise, other than by a transfer by the Executive’s will or by the laws of descent and distribution and, in the event of any attempted assignment or transfer contrary to this Section, the Company will have no liability to pay any amount so attempted to be assigned, transferred or delegated.</w:t>
      </w:r>
    </w:p>
    <w:p>
      <w:pPr>
        <w:spacing w:after="0" w:line="141" w:lineRule="exact"/>
        <w:rPr>
          <w:rFonts w:ascii="Times New Roman" w:cs="Times New Roman" w:eastAsia="Times New Roman" w:hAnsi="Times New Roman"/>
          <w:sz w:val="14"/>
          <w:szCs w:val="14"/>
          <w:color w:val="auto"/>
        </w:rPr>
      </w:pPr>
    </w:p>
    <w:p>
      <w:pPr>
        <w:jc w:val="both"/>
        <w:ind w:firstLine="6"/>
        <w:spacing w:after="0" w:line="268" w:lineRule="auto"/>
        <w:tabs>
          <w:tab w:leader="none" w:pos="224"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Notices. For all purposes of this Agreement, all communications, including without limitation notices, consents, requests or approvals, required or permitted to be given hereunder will be in writing and will be deemed to have been duly given (a) when hand-delivered, (b) on the first business day following the date of dispatch if delivered by a recognized next-day courier service with written verification of receipt, or (c) on the tenth business day following the date of mailing if delivered by registered or certified mail, return receipt requested, postage prepaid, with written verification of receipt. All notices sent to the Company shall be addressed as follows:</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Mobix Labs, Inc.</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Attn: General Counsel</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 Venture Plaza, Suite 220</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Irvine, CA 92618</w:t>
      </w:r>
    </w:p>
    <w:p>
      <w:pPr>
        <w:spacing w:after="0" w:line="17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All notices sent to the Executive shall be delivered to the address set forth below the Executive’s signature. Either party may change the address at which notice upon them is to be delivered by delivering such information to the other party in a manner set forth in this provision.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18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20" w:name="page221"/>
    <w:bookmarkEnd w:id="220"/>
    <w:p>
      <w:pPr>
        <w:ind w:left="520" w:hanging="514"/>
        <w:spacing w:after="0"/>
        <w:tabs>
          <w:tab w:leader="none" w:pos="5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409A of the Code.</w:t>
      </w:r>
    </w:p>
    <w:p>
      <w:pPr>
        <w:spacing w:after="0" w:line="183" w:lineRule="exact"/>
        <w:rPr>
          <w:rFonts w:ascii="Times New Roman" w:cs="Times New Roman" w:eastAsia="Times New Roman" w:hAnsi="Times New Roman"/>
          <w:sz w:val="14"/>
          <w:szCs w:val="14"/>
          <w:color w:val="auto"/>
        </w:rPr>
      </w:pPr>
    </w:p>
    <w:p>
      <w:pPr>
        <w:jc w:val="both"/>
        <w:ind w:firstLine="523"/>
        <w:spacing w:after="0" w:line="261" w:lineRule="auto"/>
        <w:tabs>
          <w:tab w:leader="none" w:pos="711"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Interpretation.</w:t>
      </w:r>
      <w:r>
        <w:rPr>
          <w:rFonts w:ascii="Times New Roman" w:cs="Times New Roman" w:eastAsia="Times New Roman" w:hAnsi="Times New Roman"/>
          <w:sz w:val="14"/>
          <w:szCs w:val="14"/>
          <w:color w:val="auto"/>
        </w:rPr>
        <w:t xml:space="preserve"> Notwithstanding the other provisions hereof, this Agreement is intended to comply with the requirements of section 409A of the Code, to the extent applicable, and this Agreement shall be interpreted to avoid any penalty sanctions under section 409A of the Code. Accordingly, all provisions herein, or incorporated by reference, shall be construed, and interpreted to comply with section 409A of the Code and, if necessary, any such provision shall be deemed amended to comply with section 409A of the Code and regulations thereunder. If any payment or benefit cannot be provided or made at the time specified herein without incurring sanctions under section 409A of the Code, then such benefit or payment shall be provided in full at the earliest time thereafter when such sanctions will not be imposed. Any amount payable under this Agreement that constitutes deferred compensation subject to section 409A of the Code shall be paid at the time provided under this Agreement or such other time as permitted under section 409A of the Code. No interest will be payable with respect to any amount paid within a time period permitted by or delayed because of section 409A of the Code. All payments to be made upon a termination of employment under this Agreement that is deferred compensation may only be made upon a “separation from service” under section 409A of the Code. For purposes of section 409A of the Code, each payment made under this Agreement shall be treated as a separate payment. In no event may the Executive, directly or indirectly, designate the calendar year of payment.</w:t>
      </w:r>
    </w:p>
    <w:p>
      <w:pPr>
        <w:spacing w:after="0" w:line="145" w:lineRule="exact"/>
        <w:rPr>
          <w:rFonts w:ascii="Times New Roman" w:cs="Times New Roman" w:eastAsia="Times New Roman" w:hAnsi="Times New Roman"/>
          <w:sz w:val="14"/>
          <w:szCs w:val="14"/>
          <w:color w:val="auto"/>
        </w:rPr>
      </w:pPr>
    </w:p>
    <w:p>
      <w:pPr>
        <w:jc w:val="both"/>
        <w:ind w:firstLine="523"/>
        <w:spacing w:after="0" w:line="260" w:lineRule="auto"/>
        <w:tabs>
          <w:tab w:leader="none" w:pos="719"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Delay</w:t>
      </w:r>
      <w:r>
        <w:rPr>
          <w:rFonts w:ascii="Times New Roman" w:cs="Times New Roman" w:eastAsia="Times New Roman" w:hAnsi="Times New Roman"/>
          <w:sz w:val="14"/>
          <w:szCs w:val="14"/>
          <w:color w:val="auto"/>
        </w:rPr>
        <w:t>. To the maximum extent permitted under section 409A of the Code, the severance benefits payable under this Agreement are intended to comply with the “short-term deferral exception” under Treas. Reg. §1.409A-1(b)(4), and any remaining amount is intended to comply with the “separation pay exception” under Treas. Reg. §1.409A-1(b)(9)(iii); provided, however, any amount payable to the Executive during the six (6) month period following the Executive’s Termination Date that does not qualify within either of the foregoing exceptions and constitutes deferred compensation subject to the requirements of section 409A of the Code, then such amount shall hereinafter be referred to as the “Excess Amount.” If at the time of the Executive’s separation from service, the Company’s (or any entity required to be aggregated with the Company under section 409A of the Code) stock is publicly traded on an established securities market or otherwise and the Executive is a “specified employee” (as defined in section 409A of the Code and determined in the sole discretion of the Company (or any successor thereto) in accordance with the Company’s (or any successor thereto) “specified employee” determination policy), then the Company shall postpone the commencement of the payment of the portion of the Excess Amount that is payable within the six (6) month period following the Executive’s Termination Date with the Company (or any successor thereto) for six (6) months following the Executive’s Termination Date with the Company (or any successor thereto). The delayed Excess Amount shall be paid in a lump sum to the Executive within ten (10) days following the date that is six (6) months following the Executive’s Termination Date with the Company (or any successor thereto). If the Executive dies during such six (6) month period and prior to the payment of the portion of the Excess Amount that is required to be delayed on account of section 409A of the Code, such Excess Amount shall be paid to the personal representative of the Executive’s estate within sixty (60) days after the Executive’s death.</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19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21" w:name="page222"/>
    <w:bookmarkEnd w:id="221"/>
    <w:p>
      <w:pPr>
        <w:jc w:val="both"/>
        <w:ind w:firstLine="523"/>
        <w:spacing w:after="0" w:line="264" w:lineRule="auto"/>
        <w:tabs>
          <w:tab w:leader="none" w:pos="711" w:val="left"/>
        </w:tabs>
        <w:numPr>
          <w:ilvl w:val="1"/>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Reimbursements</w:t>
      </w:r>
      <w:r>
        <w:rPr>
          <w:rFonts w:ascii="Times New Roman" w:cs="Times New Roman" w:eastAsia="Times New Roman" w:hAnsi="Times New Roman"/>
          <w:sz w:val="14"/>
          <w:szCs w:val="14"/>
          <w:color w:val="auto"/>
        </w:rPr>
        <w:t>. All reimbursements provided under this Agreement shall be made or provided in accordance with the requirements of section 409A of the Code,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taxable year following the year in which the expense is incurred, and (iv) the right to reimbursement is not subject to liquidation or exchange for another benefit. Any tax gross-up payments to be made hereunder shall be made not later than the end of the Executive’s taxable year next following the Executive’s taxable year in which the related taxes are remitted to the taxing authority.</w:t>
      </w:r>
    </w:p>
    <w:p>
      <w:pPr>
        <w:spacing w:after="0" w:line="142" w:lineRule="exact"/>
        <w:rPr>
          <w:rFonts w:ascii="Times New Roman" w:cs="Times New Roman" w:eastAsia="Times New Roman" w:hAnsi="Times New Roman"/>
          <w:sz w:val="14"/>
          <w:szCs w:val="14"/>
          <w:color w:val="auto"/>
        </w:rPr>
      </w:pPr>
    </w:p>
    <w:p>
      <w:pPr>
        <w:ind w:firstLine="6"/>
        <w:spacing w:after="0" w:line="293" w:lineRule="auto"/>
        <w:tabs>
          <w:tab w:leader="none" w:pos="234"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Governing Law. The validity, interpretation, construction, and performance of this Agreement will be governed by and construed in accordance with the substantive laws of the State of California, without giving effect to the principles of conflict of laws of such State.</w:t>
      </w:r>
    </w:p>
    <w:p>
      <w:pPr>
        <w:spacing w:after="0" w:line="123" w:lineRule="exact"/>
        <w:rPr>
          <w:rFonts w:ascii="Times New Roman" w:cs="Times New Roman" w:eastAsia="Times New Roman" w:hAnsi="Times New Roman"/>
          <w:sz w:val="14"/>
          <w:szCs w:val="14"/>
          <w:color w:val="auto"/>
        </w:rPr>
      </w:pPr>
    </w:p>
    <w:p>
      <w:pPr>
        <w:jc w:val="both"/>
        <w:ind w:firstLine="6"/>
        <w:spacing w:after="0" w:line="275" w:lineRule="auto"/>
        <w:tabs>
          <w:tab w:leader="none" w:pos="2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Severability. If any provision of this Agreement or the application of any provision hereof to any person or circumstances is held invalid, unenforceable, or otherwise illegal, the remainder of this Agreement and the application of such provision to any other person or circumstances will not be affected, and the provision so held to be invalid, unenforceable or otherwise illegal will be reformed to the extent (and only to the extent) necessary to make it enforceable, valid or legal.</w:t>
      </w:r>
    </w:p>
    <w:p>
      <w:pPr>
        <w:spacing w:after="0" w:line="135" w:lineRule="exact"/>
        <w:rPr>
          <w:rFonts w:ascii="Times New Roman" w:cs="Times New Roman" w:eastAsia="Times New Roman" w:hAnsi="Times New Roman"/>
          <w:sz w:val="14"/>
          <w:szCs w:val="14"/>
          <w:color w:val="auto"/>
        </w:rPr>
      </w:pPr>
    </w:p>
    <w:p>
      <w:pPr>
        <w:ind w:firstLine="6"/>
        <w:spacing w:after="0" w:line="293" w:lineRule="auto"/>
        <w:tabs>
          <w:tab w:leader="none" w:pos="222"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Modification. No provision of this Agreement may be modified, waived, or discharged unless such waiver, modification, or discharge is agreed to in writing and signed by the Executive and the Company.</w:t>
      </w:r>
    </w:p>
    <w:p>
      <w:pPr>
        <w:spacing w:after="0" w:line="123" w:lineRule="exact"/>
        <w:rPr>
          <w:rFonts w:ascii="Times New Roman" w:cs="Times New Roman" w:eastAsia="Times New Roman" w:hAnsi="Times New Roman"/>
          <w:sz w:val="14"/>
          <w:szCs w:val="14"/>
          <w:color w:val="auto"/>
        </w:rPr>
      </w:pPr>
    </w:p>
    <w:p>
      <w:pPr>
        <w:ind w:firstLine="6"/>
        <w:spacing w:after="0" w:line="293" w:lineRule="auto"/>
        <w:tabs>
          <w:tab w:leader="none" w:pos="22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Waiver. No waiver by either party hereto at any time of any breach by the other party hereto or compliance with any condition or provision of this Agreement to be performed by such other party will be deemed a waiver of similar or dissimilar provisions or conditions at the same or at any prior or subsequent time.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20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1">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22" w:name="page223"/>
    <w:bookmarkEnd w:id="222"/>
    <w:p>
      <w:pPr>
        <w:ind w:firstLine="6"/>
        <w:spacing w:after="0" w:line="293" w:lineRule="auto"/>
        <w:tabs>
          <w:tab w:leader="none" w:pos="216"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Board Membership. At each annual meeting of the Company’s stockholders prior to the Termination Date, the Company will nominate the Executive to serve as a Class I member of the Board. The Executive’s service as a continued member of the Board will be subject to required stockholder approval.</w:t>
      </w:r>
    </w:p>
    <w:p>
      <w:pPr>
        <w:spacing w:after="0" w:line="123" w:lineRule="exact"/>
        <w:rPr>
          <w:rFonts w:ascii="Times New Roman" w:cs="Times New Roman" w:eastAsia="Times New Roman" w:hAnsi="Times New Roman"/>
          <w:sz w:val="14"/>
          <w:szCs w:val="14"/>
          <w:color w:val="auto"/>
        </w:rPr>
      </w:pPr>
    </w:p>
    <w:p>
      <w:pPr>
        <w:jc w:val="both"/>
        <w:ind w:firstLine="6"/>
        <w:spacing w:after="0" w:line="275" w:lineRule="auto"/>
        <w:tabs>
          <w:tab w:leader="none" w:pos="227"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Indemnification and D&amp;O Insurance. The Executive will be provided indemnification to the maximum extent permitted by the Company’s and its subsidiaries’ and affiliates’ Certificate of Incorporation or Bylaws, including, if applicable, any directors and officers’ insurance policies, with such indemnification to be on terms determined by the Board or any of its committees, but on terms no less favorable than provided to any other Company executive officer or director and subject to the terms of any separate written indemnification agreement.</w:t>
      </w:r>
    </w:p>
    <w:p>
      <w:pPr>
        <w:spacing w:after="0" w:line="135" w:lineRule="exact"/>
        <w:rPr>
          <w:rFonts w:ascii="Times New Roman" w:cs="Times New Roman" w:eastAsia="Times New Roman" w:hAnsi="Times New Roman"/>
          <w:sz w:val="14"/>
          <w:szCs w:val="14"/>
          <w:color w:val="auto"/>
        </w:rPr>
      </w:pPr>
    </w:p>
    <w:p>
      <w:pPr>
        <w:ind w:firstLine="6"/>
        <w:spacing w:after="0" w:line="293" w:lineRule="auto"/>
        <w:tabs>
          <w:tab w:leader="none" w:pos="216"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Announcements. The Company shall give the Executive a reasonable opportunity to review and comment on any public announcement (including any filing with a governmental agency or stock exchange) relating to this Agreement or the Executive’s employment by the Company.</w:t>
      </w:r>
    </w:p>
    <w:p>
      <w:pPr>
        <w:spacing w:after="0" w:line="123" w:lineRule="exact"/>
        <w:rPr>
          <w:rFonts w:ascii="Times New Roman" w:cs="Times New Roman" w:eastAsia="Times New Roman" w:hAnsi="Times New Roman"/>
          <w:sz w:val="14"/>
          <w:szCs w:val="14"/>
          <w:color w:val="auto"/>
        </w:rPr>
      </w:pPr>
    </w:p>
    <w:p>
      <w:pPr>
        <w:ind w:firstLine="6"/>
        <w:spacing w:after="0" w:line="293" w:lineRule="auto"/>
        <w:tabs>
          <w:tab w:leader="none" w:pos="216"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Survival. Notwithstanding any provision of this Agreement to the contrary, the parties’ respective rights and obligations under Sections 3 and 4 will survive any termination or expiration of this Agreement or the termination of the Executive’s employment for any reason whatsoever.</w:t>
      </w:r>
    </w:p>
    <w:p>
      <w:pPr>
        <w:spacing w:after="0" w:line="123" w:lineRule="exact"/>
        <w:rPr>
          <w:rFonts w:ascii="Times New Roman" w:cs="Times New Roman" w:eastAsia="Times New Roman" w:hAnsi="Times New Roman"/>
          <w:sz w:val="14"/>
          <w:szCs w:val="14"/>
          <w:color w:val="auto"/>
        </w:rPr>
      </w:pPr>
    </w:p>
    <w:p>
      <w:pPr>
        <w:jc w:val="both"/>
        <w:ind w:firstLine="6"/>
        <w:spacing w:after="0" w:line="275" w:lineRule="auto"/>
        <w:tabs>
          <w:tab w:leader="none" w:pos="244"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This Agreement is the sole agreement with respect to the subject matter hereof and supersedes all proposals, negotiations, conversations, discussions, agreements, and/or representations, whether oral or written. The parties agree that any and all obligations between them that are outside the terms of this Agreement and that relate to the subject matter of this Agreement are null and void.</w:t>
      </w:r>
    </w:p>
    <w:p>
      <w:pPr>
        <w:spacing w:after="0" w:line="135" w:lineRule="exact"/>
        <w:rPr>
          <w:rFonts w:ascii="Times New Roman" w:cs="Times New Roman" w:eastAsia="Times New Roman" w:hAnsi="Times New Roman"/>
          <w:sz w:val="14"/>
          <w:szCs w:val="14"/>
          <w:color w:val="auto"/>
        </w:rPr>
      </w:pPr>
    </w:p>
    <w:p>
      <w:pPr>
        <w:ind w:firstLine="6"/>
        <w:spacing w:after="0" w:line="293" w:lineRule="auto"/>
        <w:tabs>
          <w:tab w:leader="none" w:pos="21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Attorney Fees. If any action at law, in equity or by arbitration is taken to enforce or interpret the terms of this Agreement, the prevailing party shall be entitled to reasonable attorneys’ fees and costs.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INTENTIONALLY LEFT BLANK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21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2">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23" w:name="page224"/>
    <w:bookmarkEnd w:id="223"/>
    <w:p>
      <w:pPr>
        <w:ind w:firstLine="6"/>
        <w:spacing w:after="0" w:line="266" w:lineRule="auto"/>
        <w:tabs>
          <w:tab w:leader="none" w:pos="234"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Counterparts. This Agreement may be executed in one or more counterparts, each of which will be deemed to be an original but all of which together will constitute one and the same Agreement.</w:t>
      </w:r>
    </w:p>
    <w:p>
      <w:pPr>
        <w:spacing w:after="0" w:line="3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WITNESS WHEREOF, the parties have caused this Agreement to be duly executed and delivered as of the date first above written.</w:t>
      </w:r>
    </w:p>
    <w:p>
      <w:pPr>
        <w:spacing w:after="0" w:line="18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color w:val="auto"/>
        </w:rPr>
        <w:t>MOBIX LABS, INC.</w:t>
      </w:r>
    </w:p>
    <w:p>
      <w:pPr>
        <w:spacing w:after="0" w:line="1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-92075</wp:posOffset>
            </wp:positionV>
            <wp:extent cx="3361690" cy="3346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3">
                      <a:extLst>
                        <a:ext uri="{28A0092B-C50C-407E-A947-70E740481C1C}"/>
                      </a:extLst>
                    </a:blip>
                    <a:srcRect/>
                    <a:stretch>
                      <a:fillRect/>
                    </a:stretch>
                  </pic:blipFill>
                  <pic:spPr bwMode="auto">
                    <a:xfrm>
                      <a:off x="0" y="0"/>
                      <a:ext cx="3361690" cy="334645"/>
                    </a:xfrm>
                    <a:prstGeom prst="rect">
                      <a:avLst/>
                    </a:prstGeom>
                    <a:noFill/>
                  </pic:spPr>
                </pic:pic>
              </a:graphicData>
            </a:graphic>
          </wp:anchor>
        </w:drawing>
      </w:r>
    </w:p>
    <w:p>
      <w:pPr>
        <w:spacing w:after="0" w:line="346"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4"/>
          <w:szCs w:val="14"/>
          <w:color w:val="auto"/>
        </w:rPr>
        <w:t>Keyvan Samini</w:t>
      </w:r>
    </w:p>
    <w:p>
      <w:pPr>
        <w:spacing w:after="0" w:line="25"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4"/>
          <w:szCs w:val="14"/>
          <w:color w:val="auto"/>
        </w:rPr>
        <w:t>President / CFO and Board Member</w:t>
      </w:r>
    </w:p>
    <w:p>
      <w:pPr>
        <w:spacing w:after="0" w:line="170"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125730</wp:posOffset>
            </wp:positionV>
            <wp:extent cx="3361690" cy="3346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4">
                      <a:extLst>
                        <a:ext uri="{28A0092B-C50C-407E-A947-70E740481C1C}"/>
                      </a:extLst>
                    </a:blip>
                    <a:srcRect/>
                    <a:stretch>
                      <a:fillRect/>
                    </a:stretch>
                  </pic:blipFill>
                  <pic:spPr bwMode="auto">
                    <a:xfrm>
                      <a:off x="0" y="0"/>
                      <a:ext cx="336169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color w:val="auto"/>
        </w:rPr>
        <w:t>Philip Sansone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22 of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24" w:name="page225"/>
    <w:bookmarkEnd w:id="224"/>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EXHIBIT A</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TO MOBIX LABS, INC. EXECUTIVE EMPLOYMENT AGREEMENT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[FORM OF SEPARATION AGREEMENT AND GENERAL RELEASE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236220</wp:posOffset>
            </wp:positionV>
            <wp:extent cx="716026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225" w:name="page226"/>
    <w:bookmarkEnd w:id="225"/>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2080260</wp:posOffset>
            </wp:positionH>
            <wp:positionV relativeFrom="page">
              <wp:posOffset>375920</wp:posOffset>
            </wp:positionV>
            <wp:extent cx="3416300" cy="4851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3416300" cy="4851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u w:val="single" w:color="auto"/>
          <w:color w:val="auto"/>
        </w:rPr>
        <w:t>SEPARATION AGREEMENT AND GENERAL RELEASE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Mobix Labs, Inc. (the “Company”) and ______ (“Executive”) (collectively the “Parties”) enter into this Separation Agreement and General Release (“General Release”) on the following terms:</w:t>
      </w:r>
    </w:p>
    <w:p>
      <w:pPr>
        <w:spacing w:after="0" w:line="183" w:lineRule="exact"/>
        <w:rPr>
          <w:sz w:val="20"/>
          <w:szCs w:val="20"/>
          <w:color w:val="auto"/>
        </w:rPr>
      </w:pPr>
    </w:p>
    <w:p>
      <w:pPr>
        <w:ind w:firstLine="501"/>
        <w:spacing w:after="0" w:line="293" w:lineRule="auto"/>
        <w:rPr>
          <w:sz w:val="20"/>
          <w:szCs w:val="20"/>
          <w:color w:val="auto"/>
        </w:rPr>
      </w:pPr>
      <w:r>
        <w:rPr>
          <w:rFonts w:ascii="Times New Roman" w:cs="Times New Roman" w:eastAsia="Times New Roman" w:hAnsi="Times New Roman"/>
          <w:sz w:val="14"/>
          <w:szCs w:val="14"/>
          <w:color w:val="auto"/>
        </w:rPr>
        <w:t>WHEREAS Executive was employed by the Company pursuant to an Executive Employment Agreement entered into by and between Executive and the Company dated as of____________ (the “Employment Agreement”). Capitalized terms used but not defined herein shall have the meaning set forth in the Employment Agreement; and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WHEREAS, the Date of Termination of Executive’s employment with the Company was__________, and Executive acknowledges that regardless of signing this General Release, she has received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his final paycheck for all wages earned through the Date of Termination, except for any payments which, pursuant to the terms of the Employment Agreement. are not yet due to be paid;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NOW, THEREFORE, in consideration of the premises and mutual covenants contained in this General Release, the Parties agree as follows:</w:t>
      </w:r>
    </w:p>
    <w:p>
      <w:pPr>
        <w:spacing w:after="0" w:line="183" w:lineRule="exact"/>
        <w:rPr>
          <w:sz w:val="20"/>
          <w:szCs w:val="20"/>
          <w:color w:val="auto"/>
        </w:rPr>
      </w:pPr>
    </w:p>
    <w:p>
      <w:pPr>
        <w:ind w:firstLine="6"/>
        <w:spacing w:after="0" w:line="293" w:lineRule="auto"/>
        <w:tabs>
          <w:tab w:leader="none" w:pos="143"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Severance.</w:t>
      </w:r>
      <w:r>
        <w:rPr>
          <w:rFonts w:ascii="Times New Roman" w:cs="Times New Roman" w:eastAsia="Times New Roman" w:hAnsi="Times New Roman"/>
          <w:sz w:val="14"/>
          <w:szCs w:val="14"/>
          <w:color w:val="auto"/>
        </w:rPr>
        <w:t xml:space="preserve"> Subject to Executive’s compliance with his promises and agreements contained in this General Release and provided Executive does not revoke this Agreement, the Company shall provide Executive with the Severance Benefits set forth in the Executive Employment Agreement.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8">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26" w:name="page227"/>
    <w:bookmarkEnd w:id="226"/>
    <w:p>
      <w:pPr>
        <w:jc w:val="both"/>
        <w:ind w:firstLine="6"/>
        <w:spacing w:after="0" w:line="258" w:lineRule="auto"/>
        <w:tabs>
          <w:tab w:leader="none" w:pos="154"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Release of Claims.</w:t>
      </w:r>
      <w:r>
        <w:rPr>
          <w:rFonts w:ascii="Times New Roman" w:cs="Times New Roman" w:eastAsia="Times New Roman" w:hAnsi="Times New Roman"/>
          <w:sz w:val="14"/>
          <w:szCs w:val="14"/>
          <w:color w:val="auto"/>
        </w:rPr>
        <w:t xml:space="preserve"> In consideration of the payments and benefits to which Executive is entitled under this General Release, Executive for himself, his heirs, administrators, representatives, executors, successors, and assigns (collectively “Releasors”) does hereby irrevocably and unconditionally release, acquit and forever discharges the Company and its respective predecessors and successors and their respective, current and former, trustees, officers, directors, partners, shareholders, agents, employees, attorneys, consultants, independent contractors, and representatives, including, without limitation, all persons acting by, though, under, or in concert with any of them (collectively, “Releasees”), and each of them from any and all charges, complaints, claims, liabilities, obligations, promises, agreements, controversies, damages, remedies, actions, causes of action, suits, rights, demands, costs, losses, debts, and expenses (including attorneys’ fees and costs) of any nature whatsoever, known or unknown, whether in law or equity and whether arising under federal, state, or local law (“Claims”), including without limitation, Claims for personal injury; Claims for breach of any implied or express contract or covenant; Claims for promissory estoppel; Claims for failure to pay wages, benefits, vacation pay, severance pay, attorneys’ fees, or any compensation of any sort; Claims for failure to grant equity or allow equity to vest; Claims for wrongful termination, public policy violations, defamation, interference with contract or prospective economic advantage, invasion of privacy, fraud, misrepresentation, emotional distress, breach of fiduciary duty, breach of the duty of loyalty or other common law or tort causes of action; Claims of harassment, retaliation or discrimination based upon race, color, sex, national origin, ancestry, age, disability, handicap, medical condition, religion, marital status, or any other protected class or status under federal, state, or local law; Claims arising under or relating to employment, employment contracts, unlawful effort to prevent employment, or unfair or unlawful business practices, including without limitation all claims arising under Title VII of the Civil Rights Act of 1964 (“Title VII”); the Civil Rights Act of 1991; the Civil Rights Acts of 1866 and/or 1871, 42 U.S.C. Section 1981; the Americans With Disabilities Act of 1990 (“ADA”), 42 U.S.C. § 12101et seq.; the Age Discrimination in Employment Act (“ADEA”), 29 U.S.C. § 621 et seq.,; the Older Workers Benefits Protection Act (“OWBPA”); the Family Medical Leave Act, 29 U.S.C. § 2601et seq.; the California Labor Code; the California Fair Employment and Housing Act (“FEHA”), Cal. Gov. Code § 12900 et seq.; the Occupational Safety and Health Act (“OSHA”), 29 U.S.C. § 651 et seq. or any other health/safety laws, statutes or regulations; the Employee Retirement Income Security Act of 197 4, as amended (“ERISA”), 29 U.S.C. § 1001et seq.; the Internal Revenue Code; the California Family Rights Act (“CFRA”), Cal. Gov. Code § 12945 et seq.; including any amendments to or regulations promulgated under these statutes and including the similar laws of any other states, any state human rights act, or any other applicable federal, state or local employment statute, law or ordinance, which Executive and the Releasors had, now have, or may have in the future against each or any of the Releasees from the beginning of the world until and including the Execution Date (collectively, “Released Claims”).</w:t>
      </w:r>
    </w:p>
    <w:p>
      <w:pPr>
        <w:spacing w:after="0" w:line="327" w:lineRule="exact"/>
        <w:rPr>
          <w:rFonts w:ascii="Times New Roman" w:cs="Times New Roman" w:eastAsia="Times New Roman" w:hAnsi="Times New Roman"/>
          <w:sz w:val="14"/>
          <w:szCs w:val="14"/>
          <w:color w:val="auto"/>
        </w:rPr>
      </w:pPr>
    </w:p>
    <w:p>
      <w:pPr>
        <w:jc w:val="both"/>
        <w:ind w:firstLine="6"/>
        <w:spacing w:after="0" w:line="266" w:lineRule="auto"/>
        <w:tabs>
          <w:tab w:leader="none" w:pos="154"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Meaning of Signing This General Release.</w:t>
      </w:r>
      <w:r>
        <w:rPr>
          <w:rFonts w:ascii="Times New Roman" w:cs="Times New Roman" w:eastAsia="Times New Roman" w:hAnsi="Times New Roman"/>
          <w:sz w:val="14"/>
          <w:szCs w:val="14"/>
          <w:color w:val="auto"/>
        </w:rPr>
        <w:t xml:space="preserve"> Executive expressly acknowledges and agrees that (a) Executive has carefully read this General Release and fully understands what it means, including the fact that he is waiving his rights under ADEA; (b) Executive has been advised in writing to consult an independent attorney of Executive’s choice before signing this General Release;</w:t>
      </w:r>
    </w:p>
    <w:p>
      <w:pPr>
        <w:spacing w:after="0" w:line="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 Executive has been given twenty-one (21) calendar days to consider this General Release, or, in the case of a group termination as set forth in 29 U.S.C. §626(f)(1)(F)(ii), forty-five (45) days;</w:t>
      </w:r>
    </w:p>
    <w:p>
      <w:pPr>
        <w:spacing w:after="0" w:line="11" w:lineRule="exact"/>
        <w:rPr>
          <w:rFonts w:ascii="Times New Roman" w:cs="Times New Roman" w:eastAsia="Times New Roman" w:hAnsi="Times New Roman"/>
          <w:sz w:val="14"/>
          <w:szCs w:val="14"/>
          <w:color w:val="auto"/>
        </w:rPr>
      </w:pPr>
    </w:p>
    <w:p>
      <w:pPr>
        <w:jc w:val="both"/>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 in the case of a group termination as set forth in 29 U.S.C. § 626 (f) (1) (F) (ii), Executive has been provided the information required by 29 U.S.C. § 626 (f) (1) (H); (e) Executive has agreed to this General Release knowingly and voluntarily of Executive’s own free will; (f) in consideration of Executive’s promises contained in this General Release, she is receiving consideration beyond that to which she is otherwise entitled, including, without limitation, the Severance Benefits; (g) Executive may revoke Executive’s waiver and release of Claims under the ADEA within seven (7) calendar days after the Execution Date by sending a written Notice of Revocation to the address of the Company as set forth in Section 14 of the Employment Agreement; and (h) except for Executive’s waiver and release of Claims under the ADEA, which shall not become effective or enforceable as to any Party until the date upon which the revocation period has expired without revocation by Executive, this General Release shall become effective on the Execution Date. Executive understands and agrees that modifications or amendments to this General Release will not restart the twenty- one (21) or forty-five (45) day consideration period, as applicable, set forth in this Section 3. For the avoidance of doubt, if Executive revokes his waiver and release of Claims under the ADEA pursuant to this Section, the Company will not provide any of the Severance Benefits.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9">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27" w:name="page228"/>
    <w:bookmarkEnd w:id="227"/>
    <w:p>
      <w:pPr>
        <w:jc w:val="both"/>
        <w:ind w:firstLine="6"/>
        <w:spacing w:after="0" w:line="264" w:lineRule="auto"/>
        <w:tabs>
          <w:tab w:leader="none" w:pos="165"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Obligations of Company</w:t>
      </w:r>
      <w:r>
        <w:rPr>
          <w:rFonts w:ascii="Times New Roman" w:cs="Times New Roman" w:eastAsia="Times New Roman" w:hAnsi="Times New Roman"/>
          <w:sz w:val="14"/>
          <w:szCs w:val="14"/>
          <w:color w:val="auto"/>
        </w:rPr>
        <w:t>. Notwithstanding anything else to the contrary in this General Release, this General Release shall not affect: the obligations of the Company set forth in the Employment Agreement or the indemnification agreement or other obligations that, in each case with respect to such other obligations, by their terms, are to be performed after the Execution Date (defined below), including, without limitation, Executive’s rights to any vested benefits, vested pension rights or vested rights to equity); any obligations of the Bank to repay any bank deposits; obligations to indemnify Executive respecting acts or omissions in connection with Executive’s service as a director, officer or employee of the Affiliated Entities; obligations with respect to insurance coverage under any of the Affiliated Entities’ (or any of their respective successors) directors’ and officers’ liability insurance policies; or any right Executive may have to obtain contribution in the event of the entry of judgment against Executive as a result of any act or failure to act for which both Executive and any of the Affiliated Entities are jointly responsible.</w:t>
      </w:r>
    </w:p>
    <w:p>
      <w:pPr>
        <w:spacing w:after="0" w:line="142" w:lineRule="exact"/>
        <w:rPr>
          <w:rFonts w:ascii="Times New Roman" w:cs="Times New Roman" w:eastAsia="Times New Roman" w:hAnsi="Times New Roman"/>
          <w:sz w:val="14"/>
          <w:szCs w:val="14"/>
          <w:color w:val="auto"/>
        </w:rPr>
      </w:pPr>
    </w:p>
    <w:p>
      <w:pPr>
        <w:jc w:val="both"/>
        <w:ind w:firstLine="6"/>
        <w:spacing w:after="0" w:line="265" w:lineRule="auto"/>
        <w:tabs>
          <w:tab w:leader="none" w:pos="143"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Executive’s Representation</w:t>
      </w:r>
      <w:r>
        <w:rPr>
          <w:rFonts w:ascii="Times New Roman" w:cs="Times New Roman" w:eastAsia="Times New Roman" w:hAnsi="Times New Roman"/>
          <w:sz w:val="14"/>
          <w:szCs w:val="14"/>
          <w:color w:val="auto"/>
        </w:rPr>
        <w:t>. Executive represents that, except for anonymous whistleblower complaints filed with the SEC or other similar regulatory agencies, the Releasors have not initiated, filed, or caused to be filed any Released Claims against any of the Releasees. Executive further agrees not to initiate, file, cause to be filed, or otherwise pursue any Released Claims, either as an individual on his own behalf or as a representative, member or shareholder in a class, collective, or derivative action and further agrees not to encourage any person, including any current or former employee of the Releasees, to file any kind of claim against the Releasees. Executive, however, retains the right to challenge the validity of the waiver of Executive’s Claims under the ADEA set forth in Sections 3 and 4 of this General Release.</w:t>
      </w:r>
    </w:p>
    <w:p>
      <w:pPr>
        <w:spacing w:after="0" w:line="144" w:lineRule="exact"/>
        <w:rPr>
          <w:rFonts w:ascii="Times New Roman" w:cs="Times New Roman" w:eastAsia="Times New Roman" w:hAnsi="Times New Roman"/>
          <w:sz w:val="14"/>
          <w:szCs w:val="14"/>
          <w:color w:val="auto"/>
        </w:rPr>
      </w:pPr>
    </w:p>
    <w:p>
      <w:pPr>
        <w:jc w:val="both"/>
        <w:ind w:firstLine="6"/>
        <w:spacing w:after="0" w:line="263" w:lineRule="auto"/>
        <w:tabs>
          <w:tab w:leader="none" w:pos="143"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Release of Unknown Claims.</w:t>
      </w:r>
      <w:r>
        <w:rPr>
          <w:rFonts w:ascii="Times New Roman" w:cs="Times New Roman" w:eastAsia="Times New Roman" w:hAnsi="Times New Roman"/>
          <w:sz w:val="14"/>
          <w:szCs w:val="14"/>
          <w:color w:val="auto"/>
        </w:rPr>
        <w:t xml:space="preserve"> Executive further acknowledges that she may hereafter discover claims or facts in addition to or different than those that she now knows or believes to exist with respect to the subject matter of this General Release and that, if known or suspected at the time of entering into this General Release, may have materially affected this General Release and Executive’s decision to enter into it. Nevertheless, EXECUTIVE hereby waives any right claim or cause of action that might arise as a result of such different or additional claims or facts, and Executive expressly waives any and all rights and benefits confirmed upon him by the provisions of California Civil Code Section 1542, which provides as follows: “A GENERAL RELEASE DOES NOT EXTEND TO CLAIMS THAT THE CREDITOR OR RELEASING PARlY DOES NOT KNOW OR SUSPECT TO EXIST IN HIS OR HER FAVOR AT THE TIME OF EXECUTING THE RELEASE, AND THAT IF KNOWN BY HIM OR HER WOULD HAVE MATERIALLY AFFECTED HIS OR HER SETTLEMENT WITH THE DEBTOR OR RELEASED PARTY.”</w:t>
      </w:r>
    </w:p>
    <w:p>
      <w:pPr>
        <w:spacing w:after="0" w:line="31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Executive further expressly waives any rights she may have under Section 1542, as well as under any other statute or common law principles of similar effect in any other jurisdiction determined by a court of competent jurisdiction to apply.</w:t>
      </w:r>
    </w:p>
    <w:p>
      <w:pPr>
        <w:spacing w:after="0" w:line="123" w:lineRule="exact"/>
        <w:rPr>
          <w:sz w:val="20"/>
          <w:szCs w:val="20"/>
          <w:color w:val="auto"/>
        </w:rPr>
      </w:pPr>
    </w:p>
    <w:p>
      <w:pPr>
        <w:jc w:val="both"/>
        <w:ind w:firstLine="6"/>
        <w:spacing w:after="0" w:line="268" w:lineRule="auto"/>
        <w:tabs>
          <w:tab w:leader="none" w:pos="154"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For all purposes of this Agreement, all communications, including without limitation notices, consents, requests or approvals, required or permitted to be given hereunder will be in writing and will be deemed to have been duly given (a) when hand-delivered, (b) on the first business day following the date of dispatch if delivered by a recognized next-day courier service with written verification of receipt, or (c) on the tenth business day following the date of mailing if delivered by registered or certified mail, return receipt requested, postage prepaid, with written verification of receipt. All notices sent to the Company shall be addressed as follows:</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Mobix Labs, Inc.</w:t>
      </w:r>
    </w:p>
    <w:p>
      <w:pPr>
        <w:spacing w:after="0" w:line="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Attn: General Counsel</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 Venture Plaza, Suite 220</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Irvine, CA 92618</w:t>
      </w:r>
    </w:p>
    <w:p>
      <w:pPr>
        <w:spacing w:after="0" w:line="17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All notices sent to the Executive shall be delivered to the address set forth below Executive’s signature. Either party may change the address at which notice upon them is to be delivered by delivering such information to the other party in a manner set forth in this provision.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30">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28" w:name="page229"/>
    <w:bookmarkEnd w:id="228"/>
    <w:p>
      <w:pPr>
        <w:ind w:firstLine="6"/>
        <w:spacing w:after="0" w:line="293" w:lineRule="auto"/>
        <w:tabs>
          <w:tab w:leader="none" w:pos="143"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xml:space="preserve"> This General Release shall be construed, enforced, and interpreted in accordance with and governed by the laws of the State of California, without reference to its principles of conflict of laws.</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9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 xml:space="preserve"> The Parties intend for the provisions of this General Release to be enforced to the fullest extent permissible under all applicable laws and public policies. They also intend that unenforceability or the modification to conform with those laws or public policies of any provision of this General Release shall not render unenforceable or impair the remainder of this General Release. Accordingly, if any provision shall be determined to be invalid or unenforceable either in whole or in part, this General Release shall be deemed amended to delete or modify as necessary the invalid or unenforceable provisions to alter the balance of this General Release in order to render the same valid and enforceable.</w:t>
      </w:r>
    </w:p>
    <w:p>
      <w:pPr>
        <w:spacing w:after="0" w:line="142" w:lineRule="exact"/>
        <w:rPr>
          <w:sz w:val="20"/>
          <w:szCs w:val="20"/>
          <w:color w:val="auto"/>
        </w:rPr>
      </w:pPr>
    </w:p>
    <w:p>
      <w:pPr>
        <w:ind w:firstLine="6"/>
        <w:spacing w:after="0" w:line="293" w:lineRule="auto"/>
        <w:tabs>
          <w:tab w:leader="none" w:pos="215"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Modification.</w:t>
      </w:r>
      <w:r>
        <w:rPr>
          <w:rFonts w:ascii="Times New Roman" w:cs="Times New Roman" w:eastAsia="Times New Roman" w:hAnsi="Times New Roman"/>
          <w:sz w:val="14"/>
          <w:szCs w:val="14"/>
          <w:color w:val="auto"/>
        </w:rPr>
        <w:t xml:space="preserve"> This General Release may not be orally canceled, changed, modified, or amended, and no cancellation, change, modification, or amendment shall be effective or binding unless in writing and signed by both parties to this General Release.</w:t>
      </w:r>
    </w:p>
    <w:p>
      <w:pPr>
        <w:spacing w:after="0" w:line="123" w:lineRule="exact"/>
        <w:rPr>
          <w:rFonts w:ascii="Times New Roman" w:cs="Times New Roman" w:eastAsia="Times New Roman" w:hAnsi="Times New Roman"/>
          <w:sz w:val="14"/>
          <w:szCs w:val="14"/>
          <w:color w:val="auto"/>
        </w:rPr>
      </w:pPr>
    </w:p>
    <w:p>
      <w:pPr>
        <w:jc w:val="both"/>
        <w:ind w:firstLine="6"/>
        <w:spacing w:after="0" w:line="261" w:lineRule="auto"/>
        <w:tabs>
          <w:tab w:leader="none" w:pos="21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Reporting of Violations of Law</w:t>
      </w:r>
      <w:r>
        <w:rPr>
          <w:rFonts w:ascii="Times New Roman" w:cs="Times New Roman" w:eastAsia="Times New Roman" w:hAnsi="Times New Roman"/>
          <w:sz w:val="14"/>
          <w:szCs w:val="14"/>
          <w:color w:val="auto"/>
        </w:rPr>
        <w:t>. Notwithstanding anything to the contrary in this General Release, Executive understands that nothing in this General Release is intended to prohibit Executive and Executive is not prohibited from reporting possible violations of law to, filing charges with, making disclosures protected under the whistleblower provisions of U.S. federal or California state law or regulation, or participating in investigations of U.S. federal or California state law or regulation by the U.S. Securities and Exchange Commission, National Labor Relations Board, Equal Employment Opportunity Commission, the Occupational Safety and Health Administration, the U.S. Department of Justice, the U.S. Congress, any U.S. agency Inspector General or any self-regulatory agencies such as the SEC or federal, state or local governmental agencies (collectively, “Government Agencies,” and each a “Government Agency”). Accordingly, Executive does not need the prior authorization of the Company to make any such reports or disclosures or otherwise communicate with Government Agencies and is not required to notify the Company that she has engaged in any such communications or made any such reports or disclosures. Notwithstanding anything to the contrary, Executive may receive and fully retain any award from a whistleblower award program administered by a Government Agency. In addition, the Executive is hereby notified that 18 U.S.C. § 1833(b) states as follows:</w:t>
      </w:r>
    </w:p>
    <w:p>
      <w:pPr>
        <w:spacing w:after="0" w:line="149" w:lineRule="exact"/>
        <w:rPr>
          <w:sz w:val="20"/>
          <w:szCs w:val="20"/>
          <w:color w:val="auto"/>
        </w:rPr>
      </w:pPr>
    </w:p>
    <w:p>
      <w:pPr>
        <w:jc w:val="both"/>
        <w:ind w:left="1040" w:right="1040"/>
        <w:spacing w:after="0" w:line="272" w:lineRule="auto"/>
        <w:rPr>
          <w:sz w:val="20"/>
          <w:szCs w:val="20"/>
          <w:color w:val="auto"/>
        </w:rPr>
      </w:pPr>
      <w:r>
        <w:rPr>
          <w:rFonts w:ascii="Times New Roman" w:cs="Times New Roman" w:eastAsia="Times New Roman" w:hAnsi="Times New Roman"/>
          <w:sz w:val="14"/>
          <w:szCs w:val="14"/>
          <w:color w:val="auto"/>
        </w:rPr>
        <w:t>“An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3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Accordingly, notwithstanding anything to the contrary in this General Release, Executive understands that she has the right to disclose in confidence trade secrets to federal, state, and local government officials, or to an attorney, for the sole purpose of reporting or investigating a suspected violation of law. Executive understands that she also has the right to disclose trade secrets in a document filed in a lawsuit or other proceeding, but only if the filing is made under seal and protected from public disclosure. Executive understands and acknowledges that nothing in this Agreement is intended to conflict with 18 U.S.C. § 1833(b) or create liability for disclosures of trade secrets that are expressly allowed by 18 U.S.C. § 1833(b).</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WITNESS WHEREOF, the parties have caused this Agreement to be duly executed and delivered as of the date first above written.</w:t>
      </w:r>
    </w:p>
    <w:p>
      <w:pPr>
        <w:spacing w:after="0" w:line="183"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color w:val="auto"/>
        </w:rPr>
        <w:t>MOBIX LABS, INC.</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By:</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3809365</wp:posOffset>
            </wp:positionH>
            <wp:positionV relativeFrom="paragraph">
              <wp:posOffset>-100965</wp:posOffset>
            </wp:positionV>
            <wp:extent cx="335470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1">
                      <a:extLst>
                        <a:ext uri="{28A0092B-C50C-407E-A947-70E740481C1C}"/>
                      </a:extLst>
                    </a:blip>
                    <a:srcRect/>
                    <a:stretch>
                      <a:fillRect/>
                    </a:stretch>
                  </pic:blipFill>
                  <pic:spPr bwMode="auto">
                    <a:xfrm>
                      <a:off x="0" y="0"/>
                      <a:ext cx="3354705" cy="6985"/>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Title</w:t>
      </w:r>
    </w:p>
    <w:p>
      <w:pPr>
        <w:spacing w:after="0" w:line="170"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color w:val="auto"/>
        </w:rPr>
        <w:t>EXECUTIVE</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3809365</wp:posOffset>
            </wp:positionH>
            <wp:positionV relativeFrom="paragraph">
              <wp:posOffset>16510</wp:posOffset>
            </wp:positionV>
            <wp:extent cx="335470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2">
                      <a:extLst>
                        <a:ext uri="{28A0092B-C50C-407E-A947-70E740481C1C}"/>
                      </a:extLst>
                    </a:blip>
                    <a:srcRect/>
                    <a:stretch>
                      <a:fillRect/>
                    </a:stretch>
                  </pic:blipFill>
                  <pic:spPr bwMode="auto">
                    <a:xfrm>
                      <a:off x="0" y="0"/>
                      <a:ext cx="3354705" cy="698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6026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3">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4"/>
          <w:szCs w:val="14"/>
          <w:b w:val="1"/>
          <w:bCs w:val="1"/>
          <w:color w:val="auto"/>
        </w:rPr>
        <w:t>ELECTRONIC RECORD AND SIGNATURE DISCLOSURE</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From time to time, Mobix Labs, Inc. (we, us or Company) may be required by law to provide to you certain written notices or disclosures. Described below are the terms and conditions for providing to you such notices and disclosures electronically through the DocuSign system.</w:t>
      </w:r>
    </w:p>
    <w:p>
      <w:pPr>
        <w:spacing w:after="0" w:line="1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Please read the information below carefully and thoroughly, and if you can access this information electronically to your satisfaction and agree to this Electronic Record and Signature Disclosure (ERSD), please confirm your agreement by selecting the check-box next to ‘I agree to use electronic records and signatures’ before clicking ‘CONTINUE’ within the DocuSign system.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Getting paper copies</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At any time, you may request from us a paper copy of any record provided or made available electronically to you by us. You will have the ability to download and print documents we send to you through the DocuSign system during and immediately after the signing session and, if you elect to create a DocuSign account, you may access the documents for a limited period of time (usually 30 days) after such documents are first sent to you. After such time, if you wish for us to send you paper copies of any such documents from our office to you, you will be charged a $0.00 per-page fee. You may request delivery of such paper copies from us by following the procedure described below.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Withdrawing your consent</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If you decide to receive notices and disclosures from us electronically, you may at any time change your mind and tell us that thereafter you want to receive required notices and disclosures only in paper format. How you must inform us of your decision to receive future notices and disclosure in paper format and withdraw your consent to receive notices and disclosures electronically is described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Consequences of changing your mind</w:t>
      </w:r>
    </w:p>
    <w:p>
      <w:pPr>
        <w:spacing w:after="0" w:line="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you elect to receive required notices and disclosures only in paper format, it will slow the speed at which we can complete certain steps in transactions with you and delivering services to you because we will need first to send the required notices or disclosures to you in paper format, and then wait until we receive back from you your acknowledgment of your receipt of such paper notices or disclosures. Further, you will no longer be able to use the DocuSign system to receive required notices and consents electronically from us or to sign electronically documents from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210185</wp:posOffset>
            </wp:positionV>
            <wp:extent cx="716026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4">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4"/>
          <w:szCs w:val="14"/>
          <w:b w:val="1"/>
          <w:bCs w:val="1"/>
          <w:color w:val="auto"/>
        </w:rPr>
        <w:t>All notices and disclosures will be sent to you electronically</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Unless you tell us otherwise in accordance with the procedures described herein, we will provide electronically to you through the DocuSign system all required notices, disclosures, authorizations, acknowledgements, and other documents that are required to be provided or made available to you during the course of our relationship with you. To reduce the chance of you inadvertently not receiving any notice or disclosure, we prefer to provide all of the required notices and disclosures to you by the same method and to the same address that you have given us. Thus, you can receive all the disclosures and notices electronically or in paper format through the paper mail delivery system. If you do not agree with this process, please let us know as described below. Please also see the paragraph immediately above that describes the consequences of your electing not to receive delivery of the notices and disclosures electronically from us.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to contact Mobix Labs, Inc.:</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You may contact us to let us know of your changes as to how we may contact you electronically, to request paper copies of certain information from us, and to withdraw your prior consent to receive notices and disclosures electronically as follows: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 advise Mobix Labs, Inc. of your new email address</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To let us know of a change in your email address where we should send notices and disclosures electronically to you, you must send an email message to us at ksamini@mobixlabs.com and in the body of such request you must state: your previous email address, your new email address. We do not require any other information from you to change your email address.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you created a DocuSign account, you may update it with your new email address through your account preferences.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 request paper copies from Mobix Labs, Inc.</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To request delivery from us of paper copies of the notices and disclosures previously provided by us to you electronically, you must send us an email to ksamini@mobixlabs.com and in the body of such request you must state your email address, full name, mailing address, and telephone number. We will bill you for any fees at that time, if 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 withdraw your consent with Mobix Labs,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inform us that you no longer wish to receive future notices and disclosures in electronic format you may: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decline to sign a document from within your signing session, and on the subsequent page, select the check-box indicating you wish to withdraw your consent, or you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234950</wp:posOffset>
            </wp:positionV>
            <wp:extent cx="716026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5">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5" w:right="319" w:bottom="1440" w:gutter="0" w:footer="0" w:header="0"/>
        </w:sectPr>
      </w:pPr>
    </w:p>
    <w:bookmarkStart w:id="231" w:name="page232"/>
    <w:bookmarkEnd w:id="231"/>
    <w:p>
      <w:pPr>
        <w:ind w:firstLine="6"/>
        <w:spacing w:after="0" w:line="293" w:lineRule="auto"/>
        <w:tabs>
          <w:tab w:leader="none" w:pos="157"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send us an email to and in the body of such request you must state your email, full name, mailing address, and telephone number. We do not need any other information from you to withdraw consent.. The consequences of your withdrawing consent for online documents will be that transactions may take a longer time to process..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Required hardware and software</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 xml:space="preserve">The minimum system requirements for using the DocuSign system may change over time. The current system requirements are found here: </w:t>
      </w:r>
      <w:r>
        <w:rPr>
          <w:rFonts w:ascii="Times New Roman" w:cs="Times New Roman" w:eastAsia="Times New Roman" w:hAnsi="Times New Roman"/>
          <w:sz w:val="14"/>
          <w:szCs w:val="14"/>
          <w:u w:val="single" w:color="auto"/>
          <w:color w:val="auto"/>
        </w:rPr>
        <w:t>https://support.docusign.com/guides/signer-guide-signing-system-requirements.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Acknowledging your access and consent to receive and sign documents electronically</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To confirm to us that you can access this information electronically, which will be similar to other electronic notices and disclosures that we will provide to you, please confirm that you have read this ERSD, and (i) that you are able to print on paper or electronically save this ERSD for your future reference and access; or (ii) that you are able to email this ERSD to an email address where you will be able to print on paper or save it for your future reference and access. Further, if you consent to receiving notices and disclosures exclusively in electronic format as described herein, then select the check-box next to ‘I agree to use electronic records and signatures’ before clicking ‘CONTINUE’ within the DocuSign system.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selecting the check-box next to ‘I agree to use electronic records and signatures’, you confirm that:</w:t>
      </w:r>
    </w:p>
    <w:p>
      <w:pPr>
        <w:spacing w:after="0" w:line="183" w:lineRule="exact"/>
        <w:rPr>
          <w:sz w:val="20"/>
          <w:szCs w:val="20"/>
          <w:color w:val="auto"/>
        </w:rPr>
      </w:pPr>
    </w:p>
    <w:p>
      <w:pPr>
        <w:ind w:left="780" w:hanging="257"/>
        <w:spacing w:after="0"/>
        <w:tabs>
          <w:tab w:leader="none" w:pos="78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can access and read this Electronic Record and Signature Disclosure; and</w:t>
      </w:r>
    </w:p>
    <w:p>
      <w:pPr>
        <w:spacing w:after="0" w:line="24" w:lineRule="exact"/>
        <w:rPr>
          <w:rFonts w:ascii="Times New Roman" w:cs="Times New Roman" w:eastAsia="Times New Roman" w:hAnsi="Times New Roman"/>
          <w:sz w:val="14"/>
          <w:szCs w:val="14"/>
          <w:color w:val="auto"/>
        </w:rPr>
      </w:pPr>
    </w:p>
    <w:p>
      <w:pPr>
        <w:ind w:left="780" w:hanging="257"/>
        <w:spacing w:after="0" w:line="256" w:lineRule="auto"/>
        <w:tabs>
          <w:tab w:leader="none" w:pos="78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You can print on paper this Electronic Record and Signature Disclosure, or save or send this Electronic Record and Disclosure to a location where you can print it, for future reference and access; and</w:t>
      </w:r>
    </w:p>
    <w:p>
      <w:pPr>
        <w:ind w:left="780" w:hanging="257"/>
        <w:spacing w:after="0" w:line="273" w:lineRule="auto"/>
        <w:tabs>
          <w:tab w:leader="none" w:pos="78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Until or unless you notify Mobix Labs, Inc. as described above, you consent to receive exclusively through electronic means all notices, disclosures, authorizations, acknowledgements, and other documents that are required to be provided or made available to you by Mobix Labs, Inc. during the course of your relationship with Mobix Labs,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205105</wp:posOffset>
            </wp:positionV>
            <wp:extent cx="716026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6">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We hereby consent to the use in this Registration Statement on Form S-1 of Mobix Labs, Inc. of our report dated January 12, 2026, except for the effects of the reverse stock split discussed in Note 21 to the consolidated financial statements, as to which the date is April 27, 2026, relating to the financial statements of Mobix Labs, Inc., which appears in this Registration Statement. We also consent to the reference to us under the heading “Experts” in such Registration Statement.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Irvine, California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226695</wp:posOffset>
            </wp:positionV>
            <wp:extent cx="716026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7">
                      <a:extLst>
                        <a:ext uri="{28A0092B-C50C-407E-A947-70E740481C1C}"/>
                      </a:extLst>
                    </a:blip>
                    <a:srcRect/>
                    <a:stretch>
                      <a:fillRect/>
                    </a:stretch>
                  </pic:blipFill>
                  <pic:spPr bwMode="auto">
                    <a:xfrm>
                      <a:off x="0" y="0"/>
                      <a:ext cx="7160260" cy="698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33" w:name="page234"/>
    <w:bookmarkEnd w:id="233"/>
    <w:p>
      <w:pPr>
        <w:ind w:left="3440"/>
        <w:spacing w:after="0"/>
        <w:rPr>
          <w:sz w:val="20"/>
          <w:szCs w:val="20"/>
          <w:color w:val="auto"/>
        </w:rPr>
      </w:pPr>
      <w:r>
        <w:rPr>
          <w:rFonts w:ascii="Arial" w:cs="Arial" w:eastAsia="Arial" w:hAnsi="Arial"/>
          <w:sz w:val="29"/>
          <w:szCs w:val="29"/>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9"/>
          <w:szCs w:val="29"/>
          <w:b w:val="1"/>
          <w:bCs w:val="1"/>
          <w:color w:val="auto"/>
        </w:rPr>
        <w:t>S-1</w:t>
      </w:r>
    </w:p>
    <w:p>
      <w:pPr>
        <w:spacing w:after="0" w:line="97"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MOBIX LABS, INC</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4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ind w:left="40"/>
              <w:spacing w:after="0" w:line="17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5"/>
                <w:szCs w:val="15"/>
                <w:color w:val="auto"/>
              </w:rPr>
            </w:pPr>
          </w:p>
        </w:tc>
        <w:tc>
          <w:tcPr>
            <w:tcW w:w="96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5"/>
                <w:szCs w:val="15"/>
                <w:color w:val="auto"/>
              </w:rPr>
            </w:pPr>
          </w:p>
        </w:tc>
        <w:tc>
          <w:tcPr>
            <w:tcW w:w="10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5"/>
                <w:szCs w:val="15"/>
                <w:color w:val="auto"/>
              </w:rPr>
            </w:pPr>
          </w:p>
        </w:tc>
        <w:tc>
          <w:tcPr>
            <w:tcW w:w="7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5"/>
                <w:szCs w:val="15"/>
                <w:color w:val="auto"/>
              </w:rPr>
            </w:pPr>
          </w:p>
        </w:tc>
        <w:tc>
          <w:tcPr>
            <w:tcW w:w="1000" w:type="dxa"/>
            <w:vAlign w:val="bottom"/>
            <w:tcBorders>
              <w:right w:val="single" w:sz="8" w:color="auto"/>
            </w:tcBorders>
            <w:vMerge w:val="continue"/>
            <w:shd w:val="clear" w:color="auto" w:fill="9ADAF6"/>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60" w:type="dxa"/>
            <w:vAlign w:val="bottom"/>
            <w:shd w:val="clear" w:color="auto" w:fill="9ADAF6"/>
          </w:tcPr>
          <w:p>
            <w:pPr>
              <w:ind w:left="160"/>
              <w:spacing w:after="0" w:line="194"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41"/>
              <w:spacing w:after="0" w:line="194"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10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740" w:type="dxa"/>
            <w:vAlign w:val="bottom"/>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ind w:left="160"/>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vMerge w:val="restart"/>
            <w:shd w:val="clear" w:color="auto" w:fill="9ADAF6"/>
          </w:tcPr>
          <w:p>
            <w:pPr>
              <w:ind w:left="200"/>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0"/>
                <w:szCs w:val="1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900" w:type="dxa"/>
            <w:vAlign w:val="bottom"/>
            <w:shd w:val="clear" w:color="auto" w:fill="9ADAF6"/>
          </w:tcPr>
          <w:p>
            <w:pPr>
              <w:jc w:val="right"/>
              <w:spacing w:after="0" w:line="117" w:lineRule="exact"/>
              <w:rPr>
                <w:sz w:val="20"/>
                <w:szCs w:val="20"/>
                <w:color w:val="auto"/>
              </w:rPr>
            </w:pPr>
            <w:r>
              <w:rPr>
                <w:rFonts w:ascii="Arial" w:cs="Arial" w:eastAsia="Arial" w:hAnsi="Arial"/>
                <w:sz w:val="13"/>
                <w:szCs w:val="13"/>
                <w:b w:val="1"/>
                <w:bCs w:val="1"/>
                <w:color w:val="auto"/>
              </w:rPr>
              <w:t>Registered</w:t>
            </w: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0"/>
                <w:szCs w:val="10"/>
                <w:color w:val="auto"/>
              </w:rPr>
            </w:pPr>
          </w:p>
        </w:tc>
        <w:tc>
          <w:tcPr>
            <w:tcW w:w="10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Offering</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0"/>
                <w:szCs w:val="10"/>
                <w:color w:val="auto"/>
              </w:rPr>
            </w:pPr>
          </w:p>
        </w:tc>
        <w:tc>
          <w:tcPr>
            <w:tcW w:w="100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5"/>
                <w:szCs w:val="15"/>
                <w:color w:val="auto"/>
              </w:rPr>
            </w:pPr>
          </w:p>
        </w:tc>
        <w:tc>
          <w:tcPr>
            <w:tcW w:w="70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5"/>
                <w:szCs w:val="15"/>
                <w:color w:val="auto"/>
              </w:rPr>
            </w:pPr>
          </w:p>
        </w:tc>
        <w:tc>
          <w:tcPr>
            <w:tcW w:w="7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8"/>
                <w:szCs w:val="18"/>
                <w:color w:val="auto"/>
              </w:rPr>
            </w:pPr>
          </w:p>
        </w:tc>
        <w:tc>
          <w:tcPr>
            <w:tcW w:w="10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8"/>
                <w:szCs w:val="18"/>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5"/>
          </w:tcPr>
          <w:p>
            <w:pPr>
              <w:jc w:val="center"/>
              <w:ind w:right="1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ind w:left="20"/>
              <w:spacing w:after="0" w:line="194"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ind w:left="20"/>
              <w:spacing w:after="0" w:line="194"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6,000,000</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$ 0.68</w:t>
            </w:r>
          </w:p>
        </w:tc>
        <w:tc>
          <w:tcPr>
            <w:tcW w:w="20" w:type="dxa"/>
            <w:vAlign w:val="bottom"/>
          </w:tcPr>
          <w:p>
            <w:pPr>
              <w:spacing w:after="0"/>
              <w:rPr>
                <w:sz w:val="8"/>
                <w:szCs w:val="8"/>
                <w:color w:val="auto"/>
              </w:rPr>
            </w:pPr>
          </w:p>
        </w:tc>
        <w:tc>
          <w:tcPr>
            <w:tcW w:w="10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98"/>
              </w:rPr>
              <w:t>0.000087</w:t>
            </w:r>
          </w:p>
        </w:tc>
        <w:tc>
          <w:tcPr>
            <w:tcW w:w="20" w:type="dxa"/>
            <w:vAlign w:val="bottom"/>
          </w:tcPr>
          <w:p>
            <w:pPr>
              <w:spacing w:after="0"/>
              <w:rPr>
                <w:sz w:val="8"/>
                <w:szCs w:val="8"/>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$ 354.96</w:t>
            </w: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40" w:type="dxa"/>
            <w:vAlign w:val="bottom"/>
            <w:tcBorders>
              <w:left w:val="single" w:sz="8" w:color="auto"/>
            </w:tcBorders>
          </w:tcPr>
          <w:p>
            <w:pPr>
              <w:spacing w:after="0"/>
              <w:rPr>
                <w:sz w:val="14"/>
                <w:szCs w:val="14"/>
                <w:color w:val="auto"/>
              </w:rPr>
            </w:pPr>
          </w:p>
        </w:tc>
        <w:tc>
          <w:tcPr>
            <w:tcW w:w="820" w:type="dxa"/>
            <w:vAlign w:val="bottom"/>
            <w:shd w:val="clear" w:color="auto" w:fill="E7E7E2"/>
          </w:tcPr>
          <w:p>
            <w:pPr>
              <w:spacing w:after="0" w:line="172"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shd w:val="clear" w:color="auto" w:fill="E7E7E2"/>
          </w:tcPr>
          <w:p>
            <w:pPr>
              <w:jc w:val="right"/>
              <w:spacing w:after="0" w:line="172" w:lineRule="exact"/>
              <w:rPr>
                <w:sz w:val="20"/>
                <w:szCs w:val="20"/>
                <w:color w:val="auto"/>
              </w:rPr>
            </w:pPr>
            <w:r>
              <w:rPr>
                <w:rFonts w:ascii="Arial" w:cs="Arial" w:eastAsia="Arial" w:hAnsi="Arial"/>
                <w:sz w:val="17"/>
                <w:szCs w:val="17"/>
                <w:color w:val="auto"/>
              </w:rPr>
              <w:t>4,080,000.00</w:t>
            </w:r>
          </w:p>
        </w:tc>
        <w:tc>
          <w:tcPr>
            <w:tcW w:w="20" w:type="dxa"/>
            <w:vAlign w:val="bottom"/>
          </w:tcPr>
          <w:p>
            <w:pPr>
              <w:spacing w:after="0"/>
              <w:rPr>
                <w:sz w:val="14"/>
                <w:szCs w:val="14"/>
                <w:color w:val="auto"/>
              </w:rPr>
            </w:pPr>
          </w:p>
        </w:tc>
        <w:tc>
          <w:tcPr>
            <w:tcW w:w="7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 w:type="dxa"/>
            <w:vAlign w:val="bottom"/>
            <w:tcBorders>
              <w:left w:val="single" w:sz="8" w:color="auto"/>
            </w:tcBorders>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ind w:left="20"/>
              <w:spacing w:after="0" w:line="119" w:lineRule="exact"/>
              <w:rPr>
                <w:sz w:val="20"/>
                <w:szCs w:val="20"/>
                <w:color w:val="auto"/>
              </w:rPr>
            </w:pPr>
            <w:r>
              <w:rPr>
                <w:rFonts w:ascii="Arial" w:cs="Arial" w:eastAsia="Arial" w:hAnsi="Arial"/>
                <w:sz w:val="13"/>
                <w:szCs w:val="13"/>
                <w:color w:val="auto"/>
              </w:rPr>
              <w:t>$0.00001</w:t>
            </w:r>
          </w:p>
        </w:tc>
        <w:tc>
          <w:tcPr>
            <w:tcW w:w="2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ind w:left="20"/>
              <w:spacing w:after="0" w:line="194"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4"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5"/>
          </w:tcPr>
          <w:p>
            <w:pPr>
              <w:jc w:val="center"/>
              <w:ind w:right="1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4"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$ 354.96</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4,080,000.00</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6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$ 354.96</w:t>
            </w: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7" w:lineRule="exact"/>
        <w:rPr>
          <w:sz w:val="20"/>
          <w:szCs w:val="20"/>
          <w:color w:val="auto"/>
        </w:rPr>
      </w:pPr>
    </w:p>
    <w:p>
      <w:pPr>
        <w:ind w:left="220" w:right="320"/>
        <w:spacing w:after="0" w:line="247" w:lineRule="auto"/>
        <w:rPr>
          <w:sz w:val="20"/>
          <w:szCs w:val="20"/>
          <w:color w:val="auto"/>
        </w:rPr>
      </w:pPr>
      <w:r>
        <w:rPr>
          <w:rFonts w:ascii="Arial" w:cs="Arial" w:eastAsia="Arial" w:hAnsi="Arial"/>
          <w:sz w:val="17"/>
          <w:szCs w:val="17"/>
          <w:color w:val="auto"/>
        </w:rPr>
        <w:t>Pursuant to Rule 416(a) under the Securities Act of 1933, as amended (the "Securities Act"), this registration statement shall be deemed to cover any additional securities to be offered or issued from stock splits, stock dividends or similar transactions with respect to the shares being registered. The proposed maximum offering price per unit is estimated solely for purposes of calculating the registration fee according to Rule 457(c) under the Securities Act based on the average of the high and low prices of the registrant's Class A Common Stock quoted on The Nasdaq Capital Market on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59055</wp:posOffset>
            </wp:positionV>
            <wp:extent cx="7144385" cy="393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8">
                      <a:extLst>
                        <a:ext uri="{28A0092B-C50C-407E-A947-70E740481C1C}"/>
                      </a:extLst>
                    </a:blip>
                    <a:srcRect/>
                    <a:stretch>
                      <a:fillRect/>
                    </a:stretch>
                  </pic:blipFill>
                  <pic:spPr bwMode="auto">
                    <a:xfrm>
                      <a:off x="0" y="0"/>
                      <a:ext cx="7144385" cy="3937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5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3"/>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5"/>
                <w:szCs w:val="15"/>
                <w:color w:val="auto"/>
              </w:rPr>
            </w:pPr>
          </w:p>
        </w:tc>
        <w:tc>
          <w:tcPr>
            <w:tcW w:w="540" w:type="dxa"/>
            <w:vAlign w:val="bottom"/>
            <w:gridSpan w:val="3"/>
            <w:vMerge w:val="continue"/>
            <w:shd w:val="clear" w:color="auto" w:fill="9ADAF6"/>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5"/>
                <w:szCs w:val="15"/>
                <w:color w:val="auto"/>
              </w:rPr>
            </w:pPr>
          </w:p>
        </w:tc>
        <w:tc>
          <w:tcPr>
            <w:tcW w:w="620" w:type="dxa"/>
            <w:vAlign w:val="bottom"/>
            <w:gridSpan w:val="3"/>
            <w:vMerge w:val="continue"/>
            <w:shd w:val="clear" w:color="auto" w:fill="9ADAF6"/>
          </w:tcPr>
          <w:p>
            <w:pPr>
              <w:spacing w:after="0"/>
              <w:rPr>
                <w:sz w:val="15"/>
                <w:szCs w:val="15"/>
                <w:color w:val="auto"/>
              </w:rPr>
            </w:pPr>
          </w:p>
        </w:tc>
        <w:tc>
          <w:tcPr>
            <w:tcW w:w="80" w:type="dxa"/>
            <w:vAlign w:val="bottom"/>
            <w:tcBorders>
              <w:right w:val="single" w:sz="8" w:color="9ADAF6"/>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5"/>
                <w:szCs w:val="15"/>
                <w:color w:val="auto"/>
              </w:rPr>
            </w:pPr>
          </w:p>
        </w:tc>
        <w:tc>
          <w:tcPr>
            <w:tcW w:w="960" w:type="dxa"/>
            <w:vAlign w:val="bottom"/>
            <w:gridSpan w:val="3"/>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5"/>
                <w:szCs w:val="15"/>
                <w:color w:val="auto"/>
              </w:rPr>
            </w:pPr>
          </w:p>
        </w:tc>
        <w:tc>
          <w:tcPr>
            <w:tcW w:w="940" w:type="dxa"/>
            <w:vAlign w:val="bottom"/>
            <w:gridSpan w:val="3"/>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5"/>
                <w:szCs w:val="15"/>
                <w:color w:val="auto"/>
              </w:rPr>
            </w:pPr>
          </w:p>
        </w:tc>
        <w:tc>
          <w:tcPr>
            <w:tcW w:w="980" w:type="dxa"/>
            <w:vAlign w:val="bottom"/>
            <w:gridSpan w:val="3"/>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74" w:lineRule="exact"/>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jc w:val="center"/>
              <w:ind w:right="274"/>
              <w:spacing w:after="0" w:line="194"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Offset</w:t>
            </w: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5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shd w:val="clear" w:color="auto" w:fill="9ADAF6"/>
          </w:tcPr>
          <w:p>
            <w:pPr>
              <w:spacing w:after="0"/>
              <w:rPr>
                <w:sz w:val="18"/>
                <w:szCs w:val="18"/>
                <w:color w:val="auto"/>
              </w:rPr>
            </w:pPr>
          </w:p>
        </w:tc>
        <w:tc>
          <w:tcPr>
            <w:tcW w:w="20" w:type="dxa"/>
            <w:vAlign w:val="bottom"/>
            <w:shd w:val="clear" w:color="auto" w:fill="9ADAF6"/>
          </w:tcPr>
          <w:p>
            <w:pPr>
              <w:spacing w:after="0"/>
              <w:rPr>
                <w:sz w:val="18"/>
                <w:szCs w:val="18"/>
                <w:color w:val="auto"/>
              </w:rPr>
            </w:pPr>
          </w:p>
        </w:tc>
        <w:tc>
          <w:tcPr>
            <w:tcW w:w="11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right w:val="single" w:sz="8" w:color="9ADAF6"/>
            </w:tcBorders>
            <w:gridSpan w:val="4"/>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8"/>
                <w:szCs w:val="18"/>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8"/>
                <w:szCs w:val="18"/>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8"/>
                <w:szCs w:val="18"/>
                <w:color w:val="auto"/>
              </w:rPr>
            </w:pPr>
          </w:p>
        </w:tc>
        <w:tc>
          <w:tcPr>
            <w:tcW w:w="94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8"/>
                <w:szCs w:val="18"/>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8"/>
                <w:szCs w:val="18"/>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5"/>
          </w:tcPr>
          <w:p>
            <w:pPr>
              <w:jc w:val="center"/>
              <w:ind w:right="154"/>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8"/>
          </w:tcPr>
          <w:p>
            <w:pPr>
              <w:jc w:val="center"/>
              <w:ind w:right="200"/>
              <w:spacing w:after="0"/>
              <w:rPr>
                <w:sz w:val="20"/>
                <w:szCs w:val="20"/>
                <w:color w:val="auto"/>
              </w:rPr>
            </w:pPr>
            <w:r>
              <w:rPr>
                <w:rFonts w:ascii="Arial" w:cs="Arial" w:eastAsia="Arial" w:hAnsi="Arial"/>
                <w:sz w:val="17"/>
                <w:szCs w:val="17"/>
                <w:b w:val="1"/>
                <w:bCs w:val="1"/>
                <w:color w:val="auto"/>
              </w:rPr>
              <w:t>Rule 457(p)</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60" w:type="dxa"/>
            <w:vAlign w:val="bottom"/>
            <w:gridSpan w:val="3"/>
            <w:shd w:val="clear" w:color="auto" w:fill="E7E7E2"/>
          </w:tcPr>
          <w:p>
            <w:pPr>
              <w:spacing w:after="0" w:line="184"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0" w:type="dxa"/>
            <w:vAlign w:val="bottom"/>
            <w:tcBorders>
              <w:left w:val="single" w:sz="8" w:color="auto"/>
            </w:tcBorders>
          </w:tcPr>
          <w:p>
            <w:pPr>
              <w:spacing w:after="0"/>
              <w:rPr>
                <w:sz w:val="19"/>
                <w:szCs w:val="19"/>
                <w:color w:val="auto"/>
              </w:rPr>
            </w:pPr>
          </w:p>
        </w:tc>
        <w:tc>
          <w:tcPr>
            <w:tcW w:w="96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Table 3: Combined Prospectuses</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1240" w:type="dxa"/>
            <w:vAlign w:val="bottom"/>
            <w:gridSpan w:val="5"/>
            <w:shd w:val="clear" w:color="auto" w:fill="9ADAF6"/>
          </w:tcPr>
          <w:p>
            <w:pPr>
              <w:ind w:left="4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1840" w:type="dxa"/>
            <w:vAlign w:val="bottom"/>
            <w:gridSpan w:val="4"/>
            <w:shd w:val="clear" w:color="auto" w:fill="9ADAF6"/>
          </w:tcPr>
          <w:p>
            <w:pPr>
              <w:jc w:val="center"/>
              <w:ind w:right="74"/>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660" w:type="dxa"/>
            <w:vAlign w:val="bottom"/>
            <w:gridSpan w:val="2"/>
            <w:vMerge w:val="restart"/>
            <w:shd w:val="clear" w:color="auto" w:fill="9ADAF6"/>
          </w:tcPr>
          <w:p>
            <w:pPr>
              <w:jc w:val="center"/>
              <w:ind w:right="94"/>
              <w:spacing w:after="0"/>
              <w:rPr>
                <w:sz w:val="20"/>
                <w:szCs w:val="20"/>
                <w:color w:val="auto"/>
              </w:rPr>
            </w:pPr>
            <w:r>
              <w:rPr>
                <w:rFonts w:ascii="Arial" w:cs="Arial" w:eastAsia="Arial" w:hAnsi="Arial"/>
                <w:sz w:val="17"/>
                <w:szCs w:val="17"/>
                <w:b w:val="1"/>
                <w:bCs w:val="1"/>
                <w:color w:val="auto"/>
                <w:w w:val="98"/>
              </w:rPr>
              <w:t>Initial</w:t>
            </w:r>
          </w:p>
        </w:tc>
        <w:tc>
          <w:tcPr>
            <w:tcW w:w="60" w:type="dxa"/>
            <w:vAlign w:val="bottom"/>
            <w:tcBorders>
              <w:left w:val="single" w:sz="8" w:color="9ADAF6"/>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1240" w:type="dxa"/>
            <w:vAlign w:val="bottom"/>
            <w:gridSpan w:val="5"/>
            <w:vMerge w:val="restart"/>
            <w:shd w:val="clear" w:color="auto" w:fill="9ADAF6"/>
          </w:tcPr>
          <w:p>
            <w:pPr>
              <w:ind w:left="60"/>
              <w:spacing w:after="0" w:line="194"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restart"/>
            <w:shd w:val="clear" w:color="auto" w:fill="9ADAF6"/>
          </w:tcPr>
          <w:p>
            <w:pPr>
              <w:jc w:val="center"/>
              <w:ind w:right="114"/>
              <w:spacing w:after="0" w:line="194"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660" w:type="dxa"/>
            <w:vAlign w:val="bottom"/>
            <w:gridSpan w:val="2"/>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4"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580" w:type="dxa"/>
            <w:vAlign w:val="bottom"/>
            <w:gridSpan w:val="5"/>
            <w:vMerge w:val="restart"/>
            <w:shd w:val="clear" w:color="auto" w:fill="9ADAF6"/>
          </w:tcPr>
          <w:p>
            <w:pPr>
              <w:ind w:left="600"/>
              <w:spacing w:after="0" w:line="194"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4"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880" w:type="dxa"/>
            <w:vAlign w:val="bottom"/>
            <w:gridSpan w:val="3"/>
            <w:vMerge w:val="restart"/>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Effective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1240" w:type="dxa"/>
            <w:vAlign w:val="bottom"/>
            <w:gridSpan w:val="5"/>
            <w:vMerge w:val="restart"/>
            <w:shd w:val="clear" w:color="auto" w:fill="9ADAF6"/>
          </w:tcPr>
          <w:p>
            <w:pPr>
              <w:ind w:left="20"/>
              <w:spacing w:after="0" w:line="194"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1920" w:type="dxa"/>
            <w:vAlign w:val="bottom"/>
            <w:gridSpan w:val="5"/>
            <w:vMerge w:val="restart"/>
            <w:shd w:val="clear" w:color="auto" w:fill="9ADAF6"/>
          </w:tcPr>
          <w:p>
            <w:pPr>
              <w:jc w:val="center"/>
              <w:ind w:right="14"/>
              <w:spacing w:after="0" w:line="194" w:lineRule="exact"/>
              <w:rPr>
                <w:sz w:val="20"/>
                <w:szCs w:val="20"/>
                <w:color w:val="auto"/>
              </w:rPr>
            </w:pPr>
            <w:r>
              <w:rPr>
                <w:rFonts w:ascii="Arial" w:cs="Arial" w:eastAsia="Arial" w:hAnsi="Arial"/>
                <w:sz w:val="17"/>
                <w:szCs w:val="17"/>
                <w:b w:val="1"/>
                <w:bCs w:val="1"/>
                <w:color w:val="auto"/>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40"/>
              <w:spacing w:after="0" w:line="194"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shd w:val="clear" w:color="auto" w:fill="9ADAF6"/>
          </w:tcPr>
          <w:p>
            <w:pPr>
              <w:spacing w:after="0"/>
              <w:rPr>
                <w:sz w:val="8"/>
                <w:szCs w:val="8"/>
                <w:color w:val="auto"/>
              </w:rPr>
            </w:pP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12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19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40" w:type="dxa"/>
            <w:vAlign w:val="bottom"/>
            <w:vMerge w:val="restart"/>
            <w:shd w:val="clear" w:color="auto" w:fill="9ADAF6"/>
          </w:tcPr>
          <w:p>
            <w:pPr>
              <w:jc w:val="center"/>
              <w:ind w:right="114"/>
              <w:spacing w:after="0"/>
              <w:rPr>
                <w:sz w:val="20"/>
                <w:szCs w:val="20"/>
                <w:color w:val="auto"/>
              </w:rPr>
            </w:pPr>
            <w:r>
              <w:rPr>
                <w:rFonts w:ascii="Arial" w:cs="Arial" w:eastAsia="Arial" w:hAnsi="Arial"/>
                <w:sz w:val="17"/>
                <w:szCs w:val="17"/>
                <w:b w:val="1"/>
                <w:bCs w:val="1"/>
                <w:color w:val="auto"/>
                <w:w w:val="97"/>
              </w:rPr>
              <w:t>Date</w:t>
            </w:r>
          </w:p>
        </w:tc>
        <w:tc>
          <w:tcPr>
            <w:tcW w:w="60" w:type="dxa"/>
            <w:vAlign w:val="bottom"/>
            <w:tcBorders>
              <w:left w:val="single" w:sz="8" w:color="9ADAF6"/>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shd w:val="clear" w:color="auto" w:fill="9ADAF6"/>
          </w:tcPr>
          <w:p>
            <w:pPr>
              <w:spacing w:after="0"/>
              <w:rPr>
                <w:sz w:val="12"/>
                <w:szCs w:val="12"/>
                <w:color w:val="auto"/>
              </w:rPr>
            </w:pPr>
          </w:p>
        </w:tc>
        <w:tc>
          <w:tcPr>
            <w:tcW w:w="1240" w:type="dxa"/>
            <w:vAlign w:val="bottom"/>
            <w:gridSpan w:val="5"/>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100" w:type="dxa"/>
            <w:vAlign w:val="bottom"/>
            <w:shd w:val="clear" w:color="auto" w:fill="9ADAF6"/>
          </w:tcPr>
          <w:p>
            <w:pPr>
              <w:spacing w:after="0"/>
              <w:rPr>
                <w:sz w:val="12"/>
                <w:szCs w:val="12"/>
                <w:color w:val="auto"/>
              </w:rPr>
            </w:pPr>
          </w:p>
        </w:tc>
        <w:tc>
          <w:tcPr>
            <w:tcW w:w="80" w:type="dxa"/>
            <w:vAlign w:val="bottom"/>
            <w:tcBorders>
              <w:right w:val="single" w:sz="8" w:color="9ADAF6"/>
            </w:tcBorders>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20" w:type="dxa"/>
            <w:vAlign w:val="bottom"/>
            <w:gridSpan w:val="3"/>
            <w:vMerge w:val="restart"/>
            <w:shd w:val="clear" w:color="auto" w:fill="9ADAF6"/>
          </w:tcPr>
          <w:p>
            <w:pPr>
              <w:jc w:val="center"/>
              <w:ind w:right="114"/>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40" w:type="dxa"/>
            <w:vAlign w:val="bottom"/>
            <w:vMerge w:val="continue"/>
            <w:shd w:val="clear" w:color="auto" w:fill="9ADAF6"/>
          </w:tcPr>
          <w:p>
            <w:pPr>
              <w:spacing w:after="0"/>
              <w:rPr>
                <w:sz w:val="12"/>
                <w:szCs w:val="12"/>
                <w:color w:val="auto"/>
              </w:rPr>
            </w:pPr>
          </w:p>
        </w:tc>
        <w:tc>
          <w:tcPr>
            <w:tcW w:w="60" w:type="dxa"/>
            <w:vAlign w:val="bottom"/>
            <w:tcBorders>
              <w:left w:val="single" w:sz="8" w:color="9ADAF6"/>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124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8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2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rPr>
                <w:sz w:val="2"/>
                <w:szCs w:val="2"/>
                <w:color w:val="auto"/>
              </w:rPr>
            </w:pPr>
          </w:p>
        </w:tc>
        <w:tc>
          <w:tcPr>
            <w:tcW w:w="4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3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20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E7E7E2"/>
            </w:tcBorders>
          </w:tcPr>
          <w:p>
            <w:pPr>
              <w:spacing w:after="0"/>
              <w:rPr>
                <w:sz w:val="2"/>
                <w:szCs w:val="2"/>
                <w:color w:val="auto"/>
              </w:rPr>
            </w:pPr>
          </w:p>
        </w:tc>
        <w:tc>
          <w:tcPr>
            <w:tcW w:w="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50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E7E7E2"/>
            </w:tcBorders>
          </w:tcPr>
          <w:p>
            <w:pPr>
              <w:spacing w:after="0"/>
              <w:rPr>
                <w:sz w:val="2"/>
                <w:szCs w:val="2"/>
                <w:color w:val="auto"/>
              </w:rPr>
            </w:pPr>
          </w:p>
        </w:tc>
        <w:tc>
          <w:tcPr>
            <w:tcW w:w="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9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86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58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740" w:type="dxa"/>
            <w:vAlign w:val="bottom"/>
            <w:tcBorders>
              <w:bottom w:val="single" w:sz="8" w:color="E7E7E2"/>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E7E7E2"/>
            </w:tcBorders>
          </w:tcPr>
          <w:p>
            <w:pPr>
              <w:spacing w:after="0"/>
              <w:rPr>
                <w:sz w:val="2"/>
                <w:szCs w:val="2"/>
                <w:color w:val="auto"/>
              </w:rPr>
            </w:pPr>
          </w:p>
        </w:tc>
        <w:tc>
          <w:tcPr>
            <w:tcW w:w="20" w:type="dxa"/>
            <w:vAlign w:val="bottom"/>
            <w:tcBorders>
              <w:bottom w:val="single" w:sz="8" w:color="E7E7E2"/>
            </w:tcBorders>
          </w:tcPr>
          <w:p>
            <w:pPr>
              <w:spacing w:after="0"/>
              <w:rPr>
                <w:sz w:val="2"/>
                <w:szCs w:val="2"/>
                <w:color w:val="auto"/>
              </w:rPr>
            </w:pPr>
          </w:p>
        </w:tc>
        <w:tc>
          <w:tcPr>
            <w:tcW w:w="640" w:type="dxa"/>
            <w:vAlign w:val="bottom"/>
            <w:tcBorders>
              <w:bottom w:val="single" w:sz="8" w:color="E7E7E2"/>
            </w:tcBorders>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0" w:right="239" w:bottom="49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
      <w:numFmt w:val="bullet"/>
      <w:start w:val="1"/>
    </w:lvl>
  </w:abstractNum>
  <w:abstractNum w:abstractNumId="5">
    <w:nsid w:val="5DC79EA8"/>
    <w:multiLevelType w:val="hybridMultilevel"/>
    <w:lvl w:ilvl="0">
      <w:lvlJc w:val="left"/>
      <w:lvlText w:val="%1."/>
      <w:numFmt w:val="decimal"/>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
      <w:numFmt w:val="bullet"/>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
      <w:numFmt w:val="bullet"/>
      <w:start w:val="1"/>
    </w:lvl>
  </w:abstractNum>
  <w:abstractNum w:abstractNumId="15">
    <w:nsid w:val="1A32234B"/>
    <w:multiLevelType w:val="hybridMultilevel"/>
    <w:lvl w:ilvl="0">
      <w:lvlJc w:val="left"/>
      <w:lvlText w:val="●"/>
      <w:numFmt w:val="bullet"/>
      <w:start w:val="1"/>
    </w:lvl>
  </w:abstractNum>
  <w:abstractNum w:abstractNumId="16">
    <w:nsid w:val="3B0FD379"/>
    <w:multiLevelType w:val="hybridMultilevel"/>
    <w:lvl w:ilvl="0">
      <w:lvlJc w:val="left"/>
      <w:lvlText w:val="(%1)"/>
      <w:numFmt w:val="lowerRoman"/>
      <w:start w:val="2"/>
    </w:lvl>
  </w:abstractNum>
  <w:abstractNum w:abstractNumId="17">
    <w:nsid w:val="68EB2F63"/>
    <w:multiLevelType w:val="hybridMultilevel"/>
    <w:lvl w:ilvl="0">
      <w:lvlJc w:val="left"/>
      <w:lvlText w:val="●"/>
      <w:numFmt w:val="bullet"/>
      <w:start w:val="1"/>
    </w:lvl>
  </w:abstractNum>
  <w:abstractNum w:abstractNumId="18">
    <w:nsid w:val="4962813B"/>
    <w:multiLevelType w:val="hybridMultilevel"/>
    <w:lvl w:ilvl="0">
      <w:lvlJc w:val="left"/>
      <w:lvlText w:val="●"/>
      <w:numFmt w:val="bullet"/>
      <w:start w:val="1"/>
    </w:lvl>
  </w:abstractNum>
  <w:abstractNum w:abstractNumId="19">
    <w:nsid w:val="60B6DF70"/>
    <w:multiLevelType w:val="hybridMultilevel"/>
    <w:lvl w:ilvl="0">
      <w:lvlJc w:val="left"/>
      <w:lvlText w:val="%1."/>
      <w:numFmt w:val="decimal"/>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
      <w:numFmt w:val="bullet"/>
      <w:start w:val="1"/>
    </w:lvl>
  </w:abstractNum>
  <w:abstractNum w:abstractNumId="22">
    <w:nsid w:val="7FFFCA11"/>
    <w:multiLevelType w:val="hybridMultilevel"/>
    <w:lvl w:ilvl="0">
      <w:lvlJc w:val="left"/>
      <w:lvlText w:val="●"/>
      <w:numFmt w:val="bullet"/>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lvl w:ilvl="1">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
      <w:numFmt w:val="bullet"/>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
      <w:numFmt w:val="bullet"/>
      <w:start w:val="1"/>
    </w:lvl>
  </w:abstractNum>
  <w:abstractNum w:abstractNumId="30">
    <w:nsid w:val="885E1B"/>
    <w:multiLevelType w:val="hybridMultilevel"/>
    <w:lvl w:ilvl="0">
      <w:lvlJc w:val="left"/>
      <w:lvlText w:val="(%1)"/>
      <w:numFmt w:val="decimal"/>
      <w:start w:val="1"/>
    </w:lvl>
  </w:abstractNum>
  <w:abstractNum w:abstractNumId="31">
    <w:nsid w:val="76272110"/>
    <w:multiLevelType w:val="hybridMultilevel"/>
    <w:lvl w:ilvl="0">
      <w:lvlJc w:val="left"/>
      <w:lvlText w:val="(%1)"/>
      <w:numFmt w:val="lowerRoman"/>
      <w:start w:val="1"/>
    </w:lvl>
  </w:abstractNum>
  <w:abstractNum w:abstractNumId="32">
    <w:nsid w:val="4C04A8AF"/>
    <w:multiLevelType w:val="hybridMultilevel"/>
    <w:lvl w:ilvl="0">
      <w:lvlJc w:val="left"/>
      <w:lvlText w:val="*"/>
      <w:numFmt w:val="bullet"/>
      <w:start w:val="1"/>
    </w:lvl>
  </w:abstractNum>
  <w:abstractNum w:abstractNumId="33">
    <w:nsid w:val="1716703B"/>
    <w:multiLevelType w:val="hybridMultilevel"/>
    <w:lvl w:ilvl="0">
      <w:lvlJc w:val="left"/>
      <w:lvlText w:val="(%1)"/>
      <w:numFmt w:val="decimal"/>
      <w:start w:val="1"/>
    </w:lvl>
  </w:abstractNum>
  <w:abstractNum w:abstractNumId="34">
    <w:nsid w:val="14E17E33"/>
    <w:multiLevelType w:val="hybridMultilevel"/>
    <w:lvl w:ilvl="0">
      <w:lvlJc w:val="left"/>
      <w:lvlText w:val="●"/>
      <w:numFmt w:val="bullet"/>
      <w:start w:val="1"/>
    </w:lvl>
  </w:abstractNum>
  <w:abstractNum w:abstractNumId="35">
    <w:nsid w:val="3222E7CD"/>
    <w:multiLevelType w:val="hybridMultilevel"/>
    <w:lvl w:ilvl="0">
      <w:lvlJc w:val="left"/>
      <w:lvlText w:val="●"/>
      <w:numFmt w:val="bullet"/>
      <w:start w:val="1"/>
    </w:lvl>
  </w:abstractNum>
  <w:abstractNum w:abstractNumId="36">
    <w:nsid w:val="74DE0EE3"/>
    <w:multiLevelType w:val="hybridMultilevel"/>
    <w:lvl w:ilvl="0">
      <w:lvlJc w:val="left"/>
      <w:lvlText w:val="●"/>
      <w:numFmt w:val="bullet"/>
      <w:start w:val="1"/>
    </w:lvl>
  </w:abstractNum>
  <w:abstractNum w:abstractNumId="37">
    <w:nsid w:val="68EBC550"/>
    <w:multiLevelType w:val="hybridMultilevel"/>
    <w:lvl w:ilvl="0">
      <w:lvlJc w:val="left"/>
      <w:lvlText w:val="(%1)"/>
      <w:numFmt w:val="decimal"/>
      <w:start w:val="1"/>
    </w:lvl>
  </w:abstractNum>
  <w:abstractNum w:abstractNumId="38">
    <w:nsid w:val="2DF6D648"/>
    <w:multiLevelType w:val="hybridMultilevel"/>
    <w:lvl w:ilvl="0">
      <w:lvlJc w:val="left"/>
      <w:lvlText w:val="●"/>
      <w:numFmt w:val="bullet"/>
      <w:start w:val="1"/>
    </w:lvl>
  </w:abstractNum>
  <w:abstractNum w:abstractNumId="39">
    <w:nsid w:val="46B7D447"/>
    <w:multiLevelType w:val="hybridMultilevel"/>
    <w:lvl w:ilvl="0">
      <w:lvlJc w:val="left"/>
      <w:lvlText w:val="●"/>
      <w:numFmt w:val="bullet"/>
      <w:start w:val="1"/>
    </w:lvl>
  </w:abstractNum>
  <w:abstractNum w:abstractNumId="40">
    <w:nsid w:val="4A2AC315"/>
    <w:multiLevelType w:val="hybridMultilevel"/>
    <w:lvl w:ilvl="0">
      <w:lvlJc w:val="left"/>
      <w:lvlText w:val="●"/>
      <w:numFmt w:val="bullet"/>
      <w:start w:val="1"/>
    </w:lvl>
  </w:abstractNum>
  <w:abstractNum w:abstractNumId="41">
    <w:nsid w:val="39EE015C"/>
    <w:multiLevelType w:val="hybridMultilevel"/>
    <w:lvl w:ilvl="0">
      <w:lvlJc w:val="left"/>
      <w:lvlText w:val="●"/>
      <w:numFmt w:val="bullet"/>
      <w:start w:val="1"/>
    </w:lvl>
  </w:abstractNum>
  <w:abstractNum w:abstractNumId="42">
    <w:nsid w:val="57FC4FBB"/>
    <w:multiLevelType w:val="hybridMultilevel"/>
    <w:lvl w:ilvl="0">
      <w:lvlJc w:val="left"/>
      <w:lvlText w:val="(%1)"/>
      <w:numFmt w:val="decimal"/>
      <w:start w:val="1"/>
    </w:lvl>
  </w:abstractNum>
  <w:abstractNum w:abstractNumId="43">
    <w:nsid w:val="CC1016F"/>
    <w:multiLevelType w:val="hybridMultilevel"/>
    <w:lvl w:ilvl="0">
      <w:lvlJc w:val="left"/>
      <w:lvlText w:val="(%1)"/>
      <w:numFmt w:val="decimal"/>
      <w:start w:val="1"/>
    </w:lvl>
  </w:abstractNum>
  <w:abstractNum w:abstractNumId="44">
    <w:nsid w:val="43F18422"/>
    <w:multiLevelType w:val="hybridMultilevel"/>
    <w:lvl w:ilvl="0">
      <w:lvlJc w:val="left"/>
      <w:lvlText w:val="●"/>
      <w:numFmt w:val="bullet"/>
      <w:start w:val="1"/>
    </w:lvl>
  </w:abstractNum>
  <w:abstractNum w:abstractNumId="45">
    <w:nsid w:val="60EF0119"/>
    <w:multiLevelType w:val="hybridMultilevel"/>
    <w:lvl w:ilvl="0">
      <w:lvlJc w:val="left"/>
      <w:lvlText w:val="●"/>
      <w:numFmt w:val="bullet"/>
      <w:start w:val="1"/>
    </w:lvl>
  </w:abstractNum>
  <w:abstractNum w:abstractNumId="46">
    <w:nsid w:val="26F324BA"/>
    <w:multiLevelType w:val="hybridMultilevel"/>
    <w:lvl w:ilvl="0">
      <w:lvlJc w:val="left"/>
      <w:lvlText w:val="●"/>
      <w:numFmt w:val="bullet"/>
      <w:start w:val="1"/>
    </w:lvl>
  </w:abstractNum>
  <w:abstractNum w:abstractNumId="47">
    <w:nsid w:val="7F01579B"/>
    <w:multiLevelType w:val="hybridMultilevel"/>
    <w:lvl w:ilvl="0">
      <w:lvlJc w:val="left"/>
      <w:lvlText w:val="(%1)"/>
      <w:numFmt w:val="upperLetter"/>
      <w:start w:val="1"/>
    </w:lvl>
  </w:abstractNum>
  <w:abstractNum w:abstractNumId="48">
    <w:nsid w:val="49DA307D"/>
    <w:multiLevelType w:val="hybridMultilevel"/>
    <w:lvl w:ilvl="0">
      <w:lvlJc w:val="left"/>
      <w:lvlText w:val="1"/>
      <w:numFmt w:val="bullet"/>
      <w:start w:val="1"/>
    </w:lvl>
  </w:abstractNum>
  <w:abstractNum w:abstractNumId="49">
    <w:nsid w:val="7055A5F5"/>
    <w:multiLevelType w:val="hybridMultilevel"/>
    <w:lvl w:ilvl="0">
      <w:lvlJc w:val="left"/>
      <w:lvlText w:val="2"/>
      <w:numFmt w:val="bullet"/>
      <w:start w:val="1"/>
    </w:lvl>
  </w:abstractNum>
  <w:abstractNum w:abstractNumId="50">
    <w:nsid w:val="5FB8370B"/>
    <w:multiLevelType w:val="hybridMultilevel"/>
    <w:lvl w:ilvl="0">
      <w:lvlJc w:val="left"/>
      <w:lvlText w:val="3"/>
      <w:numFmt w:val="bullet"/>
      <w:start w:val="1"/>
    </w:lvl>
  </w:abstractNum>
  <w:abstractNum w:abstractNumId="51">
    <w:nsid w:val="50801EE1"/>
    <w:multiLevelType w:val="hybridMultilevel"/>
    <w:lvl w:ilvl="0">
      <w:lvlJc w:val="left"/>
      <w:lvlText w:val="4"/>
      <w:numFmt w:val="bullet"/>
      <w:start w:val="1"/>
    </w:lvl>
  </w:abstractNum>
  <w:abstractNum w:abstractNumId="52">
    <w:nsid w:val="488AC1A"/>
    <w:multiLevelType w:val="hybridMultilevel"/>
    <w:lvl w:ilvl="0">
      <w:lvlJc w:val="left"/>
      <w:lvlText w:val="●"/>
      <w:numFmt w:val="bullet"/>
      <w:start w:val="1"/>
    </w:lvl>
  </w:abstractNum>
  <w:abstractNum w:abstractNumId="53">
    <w:nsid w:val="5FB8011C"/>
    <w:multiLevelType w:val="hybridMultilevel"/>
    <w:lvl w:ilvl="0">
      <w:lvlJc w:val="left"/>
      <w:lvlText w:val="●"/>
      <w:numFmt w:val="bullet"/>
      <w:start w:val="1"/>
    </w:lvl>
  </w:abstractNum>
  <w:abstractNum w:abstractNumId="54">
    <w:nsid w:val="6AA78F7F"/>
    <w:multiLevelType w:val="hybridMultilevel"/>
    <w:lvl w:ilvl="0">
      <w:lvlJc w:val="left"/>
      <w:lvlText w:val="●"/>
      <w:numFmt w:val="bullet"/>
      <w:start w:val="1"/>
    </w:lvl>
  </w:abstractNum>
  <w:abstractNum w:abstractNumId="55">
    <w:nsid w:val="7672BD23"/>
    <w:multiLevelType w:val="hybridMultilevel"/>
    <w:lvl w:ilvl="0">
      <w:lvlJc w:val="left"/>
      <w:lvlText w:val="●"/>
      <w:numFmt w:val="bullet"/>
      <w:start w:val="1"/>
    </w:lvl>
  </w:abstractNum>
  <w:abstractNum w:abstractNumId="56">
    <w:nsid w:val="6FC75AF8"/>
    <w:multiLevelType w:val="hybridMultilevel"/>
    <w:lvl w:ilvl="0">
      <w:lvlJc w:val="left"/>
      <w:lvlText w:val="●"/>
      <w:numFmt w:val="bullet"/>
      <w:start w:val="1"/>
    </w:lvl>
  </w:abstractNum>
  <w:abstractNum w:abstractNumId="57">
    <w:nsid w:val="6A5F7029"/>
    <w:multiLevelType w:val="hybridMultilevel"/>
    <w:lvl w:ilvl="0">
      <w:lvlJc w:val="left"/>
      <w:lvlText w:val="$"/>
      <w:numFmt w:val="bullet"/>
      <w:start w:val="1"/>
    </w:lvl>
  </w:abstractNum>
  <w:abstractNum w:abstractNumId="58">
    <w:nsid w:val="7D5E18F8"/>
    <w:multiLevelType w:val="hybridMultilevel"/>
    <w:lvl w:ilvl="0">
      <w:lvlJc w:val="left"/>
      <w:lvlText w:val="*"/>
      <w:numFmt w:val="bullet"/>
      <w:start w:val="1"/>
    </w:lvl>
  </w:abstractNum>
  <w:abstractNum w:abstractNumId="59">
    <w:nsid w:val="5F3534A4"/>
    <w:multiLevelType w:val="hybridMultilevel"/>
    <w:lvl w:ilvl="0">
      <w:lvlJc w:val="left"/>
      <w:lvlText w:val="(%1)"/>
      <w:numFmt w:val="lowerRoman"/>
      <w:start w:val="4"/>
    </w:lvl>
  </w:abstractNum>
  <w:abstractNum w:abstractNumId="60">
    <w:nsid w:val="73A1821B"/>
    <w:multiLevelType w:val="hybridMultilevel"/>
    <w:lvl w:ilvl="0">
      <w:lvlJc w:val="left"/>
      <w:lvlText w:val="%1"/>
      <w:numFmt w:val="decimal"/>
      <w:start w:val="104"/>
    </w:lvl>
  </w:abstractNum>
  <w:abstractNum w:abstractNumId="61">
    <w:nsid w:val="7DE67713"/>
    <w:multiLevelType w:val="hybridMultilevel"/>
    <w:lvl w:ilvl="0">
      <w:lvlJc w:val="left"/>
      <w:lvlText w:val="*"/>
      <w:numFmt w:val="bullet"/>
      <w:start w:val="1"/>
    </w:lvl>
  </w:abstractNum>
  <w:abstractNum w:abstractNumId="62">
    <w:nsid w:val="555C55B5"/>
    <w:multiLevelType w:val="hybridMultilevel"/>
    <w:lvl w:ilvl="0">
      <w:lvlJc w:val="left"/>
      <w:lvlText w:val="#"/>
      <w:numFmt w:val="bullet"/>
      <w:start w:val="1"/>
    </w:lvl>
  </w:abstractNum>
  <w:abstractNum w:abstractNumId="63">
    <w:nsid w:val="3FA62ACA"/>
    <w:multiLevelType w:val="hybridMultilevel"/>
    <w:lvl w:ilvl="0">
      <w:lvlJc w:val="left"/>
      <w:lvlText w:val="^"/>
      <w:numFmt w:val="bullet"/>
      <w:start w:val="1"/>
    </w:lvl>
  </w:abstractNum>
  <w:abstractNum w:abstractNumId="64">
    <w:nsid w:val="14FCE74E"/>
    <w:multiLevelType w:val="hybridMultilevel"/>
    <w:lvl w:ilvl="0">
      <w:lvlJc w:val="left"/>
      <w:lvlText w:val="+"/>
      <w:numFmt w:val="bullet"/>
      <w:start w:val="1"/>
    </w:lvl>
  </w:abstractNum>
  <w:abstractNum w:abstractNumId="65">
    <w:nsid w:val="6A3DD3E8"/>
    <w:multiLevelType w:val="hybridMultilevel"/>
    <w:lvl w:ilvl="0">
      <w:lvlJc w:val="left"/>
      <w:lvlText w:val="(%1)"/>
      <w:numFmt w:val="decimal"/>
      <w:start w:val="1"/>
    </w:lvl>
    <w:lvl w:ilvl="1">
      <w:lvlJc w:val="left"/>
      <w:lvlText w:val="(%2)"/>
      <w:numFmt w:val="lowerLetter"/>
      <w:start w:val="1"/>
    </w:lvl>
  </w:abstractNum>
  <w:abstractNum w:abstractNumId="66">
    <w:nsid w:val="71C91298"/>
    <w:multiLevelType w:val="hybridMultilevel"/>
    <w:lvl w:ilvl="0">
      <w:lvlJc w:val="left"/>
      <w:lvlText w:val="1"/>
      <w:numFmt w:val="bullet"/>
      <w:start w:val="1"/>
    </w:lvl>
  </w:abstractNum>
  <w:abstractNum w:abstractNumId="67">
    <w:nsid w:val="9DAF632"/>
    <w:multiLevelType w:val="hybridMultilevel"/>
    <w:lvl w:ilvl="0">
      <w:lvlJc w:val="left"/>
      <w:lvlText w:val="(%1)"/>
      <w:numFmt w:val="lowerLetter"/>
      <w:start w:val="1"/>
    </w:lvl>
  </w:abstractNum>
  <w:abstractNum w:abstractNumId="68">
    <w:nsid w:val="53299938"/>
    <w:multiLevelType w:val="hybridMultilevel"/>
    <w:lvl w:ilvl="0">
      <w:lvlJc w:val="left"/>
      <w:lvlText w:val="(%1)"/>
      <w:numFmt w:val="lowerLetter"/>
      <w:start w:val="8"/>
    </w:lvl>
  </w:abstractNum>
  <w:abstractNum w:abstractNumId="69">
    <w:nsid w:val="1FBFE8E0"/>
    <w:multiLevelType w:val="hybridMultilevel"/>
    <w:lvl w:ilvl="0">
      <w:lvlJc w:val="left"/>
      <w:lvlText w:val="(%1)"/>
      <w:numFmt w:val="lowerLetter"/>
      <w:start w:val="13"/>
    </w:lvl>
  </w:abstractNum>
  <w:abstractNum w:abstractNumId="70">
    <w:nsid w:val="5092CA79"/>
    <w:multiLevelType w:val="hybridMultilevel"/>
    <w:lvl w:ilvl="0">
      <w:lvlJc w:val="left"/>
      <w:lvlText w:val="(%1)"/>
      <w:numFmt w:val="lowerLetter"/>
      <w:start w:val="20"/>
    </w:lvl>
    <w:lvl w:ilvl="1">
      <w:lvlJc w:val="left"/>
      <w:lvlText w:val="(%2)"/>
      <w:numFmt w:val="lowerRoman"/>
      <w:start w:val="1"/>
    </w:lvl>
  </w:abstractNum>
  <w:abstractNum w:abstractNumId="71">
    <w:nsid w:val="1D545C4D"/>
    <w:multiLevelType w:val="hybridMultilevel"/>
    <w:lvl w:ilvl="0">
      <w:lvlJc w:val="left"/>
      <w:lvlText w:val="(%1)"/>
      <w:numFmt w:val="lowerLetter"/>
      <w:start w:val="27"/>
    </w:lvl>
  </w:abstractNum>
  <w:abstractNum w:abstractNumId="72">
    <w:nsid w:val="59ADEA3D"/>
    <w:multiLevelType w:val="hybridMultilevel"/>
    <w:lvl w:ilvl="0">
      <w:lvlJc w:val="left"/>
      <w:lvlText w:val="%1"/>
      <w:numFmt w:val="decimal"/>
      <w:start w:val="1"/>
    </w:lvl>
    <w:lvl w:ilvl="1">
      <w:lvlJc w:val="left"/>
      <w:lvlText w:val="(%2)"/>
      <w:numFmt w:val="lowerLetter"/>
      <w:start w:val="39"/>
    </w:lvl>
  </w:abstractNum>
  <w:abstractNum w:abstractNumId="73">
    <w:nsid w:val="288F1A34"/>
    <w:multiLevelType w:val="hybridMultilevel"/>
    <w:lvl w:ilvl="0">
      <w:lvlJc w:val="left"/>
      <w:lvlText w:val="%1."/>
      <w:numFmt w:val="decimal"/>
      <w:start w:val="3"/>
    </w:lvl>
    <w:lvl w:ilvl="1">
      <w:lvlJc w:val="left"/>
      <w:lvlText w:val="(%2)"/>
      <w:numFmt w:val="lowerLetter"/>
      <w:start w:val="1"/>
    </w:lvl>
  </w:abstractNum>
  <w:abstractNum w:abstractNumId="74">
    <w:nsid w:val="2A155DBC"/>
    <w:multiLevelType w:val="hybridMultilevel"/>
    <w:lvl w:ilvl="0">
      <w:lvlJc w:val="left"/>
      <w:lvlText w:val="(%1)"/>
      <w:numFmt w:val="lowerLetter"/>
      <w:start w:val="2"/>
    </w:lvl>
  </w:abstractNum>
  <w:abstractNum w:abstractNumId="75">
    <w:nsid w:val="1D9F6E5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6">
    <w:nsid w:val="97E1B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7">
    <w:nsid w:val="5108827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8">
    <w:nsid w:val="1CA0C5F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9">
    <w:nsid w:val="53584BCB"/>
    <w:multiLevelType w:val="hybridMultilevel"/>
    <w:lvl w:ilvl="0">
      <w:lvlJc w:val="left"/>
      <w:lvlText w:val="%1."/>
      <w:numFmt w:val="decimal"/>
      <w:start w:val="6"/>
    </w:lvl>
    <w:lvl w:ilvl="1">
      <w:lvlJc w:val="left"/>
      <w:lvlText w:val="(%2)"/>
      <w:numFmt w:val="lowerLetter"/>
      <w:start w:val="1"/>
    </w:lvl>
  </w:abstractNum>
  <w:abstractNum w:abstractNumId="80">
    <w:nsid w:val="415E286C"/>
    <w:multiLevelType w:val="hybridMultilevel"/>
    <w:lvl w:ilvl="0">
      <w:lvlJc w:val="left"/>
      <w:lvlText w:val="(%1)"/>
      <w:numFmt w:val="lowerLetter"/>
      <w:start w:val="2"/>
    </w:lvl>
    <w:lvl w:ilvl="1">
      <w:lvlJc w:val="left"/>
      <w:lvlText w:val="(%2)"/>
      <w:numFmt w:val="lowerRoman"/>
      <w:start w:val="1"/>
    </w:lvl>
  </w:abstractNum>
  <w:abstractNum w:abstractNumId="81">
    <w:nsid w:val="7C58FD05"/>
    <w:multiLevelType w:val="hybridMultilevel"/>
    <w:lvl w:ilvl="0">
      <w:lvlJc w:val="left"/>
      <w:lvlText w:val="(%1)"/>
      <w:numFmt w:val="lowerRoman"/>
      <w:start w:val="3"/>
    </w:lvl>
    <w:lvl w:ilvl="1">
      <w:lvlJc w:val="left"/>
      <w:lvlText w:val="(%2)"/>
      <w:numFmt w:val="upperLetter"/>
      <w:start w:val="1"/>
    </w:lvl>
  </w:abstractNum>
  <w:abstractNum w:abstractNumId="82">
    <w:nsid w:val="23D86AA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83">
    <w:nsid w:val="45E6D48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4">
    <w:nsid w:val="5C10FE21"/>
    <w:multiLevelType w:val="hybridMultilevel"/>
    <w:lvl w:ilvl="0">
      <w:lvlJc w:val="left"/>
      <w:lvlText w:val="%1"/>
      <w:numFmt w:val="lowerLetter"/>
      <w:start w:val="1"/>
    </w:lvl>
    <w:lvl w:ilvl="1">
      <w:lvlJc w:val="left"/>
      <w:lvlText w:val="(%2)"/>
      <w:numFmt w:val="lowerLetter"/>
      <w:start w:val="61"/>
    </w:lvl>
  </w:abstractNum>
  <w:abstractNum w:abstractNumId="85">
    <w:nsid w:val="E7FFA2B"/>
    <w:multiLevelType w:val="hybridMultilevel"/>
    <w:lvl w:ilvl="0">
      <w:lvlJc w:val="left"/>
      <w:lvlText w:val="(%1)"/>
      <w:numFmt w:val="lowerLetter"/>
      <w:start w:val="4"/>
    </w:lvl>
    <w:lvl w:ilvl="1">
      <w:lvlJc w:val="left"/>
      <w:lvlText w:val="(%2)"/>
      <w:numFmt w:val="lowerLetter"/>
      <w:start w:val="9"/>
    </w:lvl>
  </w:abstractNum>
  <w:abstractNum w:abstractNumId="86">
    <w:nsid w:val="3C5991AA"/>
    <w:multiLevelType w:val="hybridMultilevel"/>
    <w:lvl w:ilvl="0">
      <w:lvlJc w:val="left"/>
      <w:lvlText w:val="(%1)"/>
      <w:numFmt w:val="lowerRoman"/>
      <w:start w:val="2"/>
    </w:lvl>
  </w:abstractNum>
  <w:abstractNum w:abstractNumId="87">
    <w:nsid w:val="4BD8591A"/>
    <w:multiLevelType w:val="hybridMultilevel"/>
    <w:lvl w:ilvl="0">
      <w:lvlJc w:val="left"/>
      <w:lvlText w:val="%1"/>
      <w:numFmt w:val="lowerLetter"/>
      <w:start w:val="1"/>
    </w:lvl>
    <w:lvl w:ilvl="1">
      <w:lvlJc w:val="left"/>
      <w:lvlText w:val="(%2)"/>
      <w:numFmt w:val="lowerRoman"/>
      <w:start w:val="3"/>
    </w:lvl>
  </w:abstractNum>
  <w:abstractNum w:abstractNumId="88">
    <w:nsid w:val="78DF6A55"/>
    <w:multiLevelType w:val="hybridMultilevel"/>
    <w:lvl w:ilvl="0">
      <w:lvlJc w:val="left"/>
      <w:lvlText w:val="(%1)"/>
      <w:numFmt w:val="lowerLetter"/>
      <w:start w:val="5"/>
    </w:lvl>
    <w:lvl w:ilvl="1">
      <w:lvlJc w:val="left"/>
      <w:lvlText w:val="(%2)"/>
      <w:numFmt w:val="lowerRoman"/>
      <w:start w:val="1"/>
    </w:lvl>
  </w:abstractNum>
  <w:abstractNum w:abstractNumId="89">
    <w:nsid w:val="39B7AAA2"/>
    <w:multiLevelType w:val="hybridMultilevel"/>
    <w:lvl w:ilvl="0">
      <w:lvlJc w:val="left"/>
      <w:lvlText w:val="%1"/>
      <w:numFmt w:val="lowerLetter"/>
      <w:start w:val="1"/>
    </w:lvl>
    <w:lvl w:ilvl="1">
      <w:lvlJc w:val="left"/>
      <w:lvlText w:val="(%2)"/>
      <w:numFmt w:val="lowerLetter"/>
      <w:start w:val="61"/>
    </w:lvl>
  </w:abstractNum>
  <w:abstractNum w:abstractNumId="90">
    <w:nsid w:val="2B0D8DBE"/>
    <w:multiLevelType w:val="hybridMultilevel"/>
    <w:lvl w:ilvl="0">
      <w:lvlJc w:val="left"/>
      <w:lvlText w:val="(%1)"/>
      <w:numFmt w:val="lowerLetter"/>
      <w:start w:val="6"/>
    </w:lvl>
    <w:lvl w:ilvl="1">
      <w:lvlJc w:val="left"/>
      <w:lvlText w:val="%2"/>
      <w:numFmt w:val="lowerLetter"/>
      <w:start w:val="1"/>
    </w:lvl>
  </w:abstractNum>
  <w:abstractNum w:abstractNumId="91">
    <w:nsid w:val="6C80EC70"/>
    <w:multiLevelType w:val="hybridMultilevel"/>
    <w:lvl w:ilvl="0">
      <w:lvlJc w:val="left"/>
      <w:lvlText w:val="(%1)"/>
      <w:numFmt w:val="lowerLetter"/>
      <w:start w:val="8"/>
    </w:lvl>
  </w:abstractNum>
  <w:abstractNum w:abstractNumId="92">
    <w:nsid w:val="379E21B5"/>
    <w:multiLevelType w:val="hybridMultilevel"/>
    <w:lvl w:ilvl="0">
      <w:lvlJc w:val="left"/>
      <w:lvlText w:val="%1."/>
      <w:numFmt w:val="decimal"/>
      <w:start w:val="7"/>
    </w:lvl>
    <w:lvl w:ilvl="1">
      <w:lvlJc w:val="left"/>
      <w:lvlText w:val="(%2)"/>
      <w:numFmt w:val="lowerLetter"/>
      <w:start w:val="1"/>
    </w:lvl>
  </w:abstractNum>
  <w:abstractNum w:abstractNumId="93">
    <w:nsid w:val="69E373"/>
    <w:multiLevelType w:val="hybridMultilevel"/>
    <w:lvl w:ilvl="0">
      <w:lvlJc w:val="left"/>
      <w:lvlText w:val="(%1)"/>
      <w:numFmt w:val="lowerLetter"/>
      <w:start w:val="3"/>
    </w:lvl>
    <w:lvl w:ilvl="1">
      <w:lvlJc w:val="left"/>
      <w:lvlText w:val="(%2)"/>
      <w:numFmt w:val="lowerLetter"/>
      <w:start w:val="9"/>
    </w:lvl>
  </w:abstractNum>
  <w:abstractNum w:abstractNumId="94">
    <w:nsid w:val="2C27173B"/>
    <w:multiLevelType w:val="hybridMultilevel"/>
    <w:lvl w:ilvl="0">
      <w:lvlJc w:val="left"/>
      <w:lvlText w:val="(%1)"/>
      <w:numFmt w:val="lowerRoman"/>
      <w:start w:val="2"/>
    </w:lvl>
    <w:lvl w:ilvl="1">
      <w:lvlJc w:val="left"/>
      <w:lvlText w:val="(%2)"/>
      <w:numFmt w:val="upperLetter"/>
      <w:start w:val="1"/>
    </w:lvl>
  </w:abstractNum>
  <w:abstractNum w:abstractNumId="95">
    <w:nsid w:val="4C9B0904"/>
    <w:multiLevelType w:val="hybridMultilevel"/>
    <w:lvl w:ilvl="0">
      <w:lvlJc w:val="left"/>
      <w:lvlText w:val="(%1)"/>
      <w:numFmt w:val="lowerRoman"/>
      <w:start w:val="3"/>
    </w:lvl>
  </w:abstractNum>
  <w:abstractNum w:abstractNumId="96">
    <w:nsid w:val="6AA7B75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7">
    <w:nsid w:val="1DF029D3"/>
    <w:multiLevelType w:val="hybridMultilevel"/>
    <w:lvl w:ilvl="0">
      <w:lvlJc w:val="left"/>
      <w:lvlText w:val="(%1)"/>
      <w:numFmt w:val="lowerLetter"/>
      <w:start w:val="2"/>
    </w:lvl>
    <w:lvl w:ilvl="1">
      <w:lvlJc w:val="left"/>
      <w:lvlText w:val="(%2)"/>
      <w:numFmt w:val="lowerRoman"/>
      <w:start w:val="1"/>
    </w:lvl>
  </w:abstractNum>
  <w:abstractNum w:abstractNumId="98">
    <w:nsid w:val="5675FF36"/>
    <w:multiLevelType w:val="hybridMultilevel"/>
    <w:lvl w:ilvl="0">
      <w:lvlJc w:val="left"/>
      <w:lvlText w:val="(%1)"/>
      <w:numFmt w:val="lowerRoman"/>
      <w:start w:val="3"/>
    </w:lvl>
  </w:abstractNum>
  <w:abstractNum w:abstractNumId="99">
    <w:nsid w:val="3DD15094"/>
    <w:multiLevelType w:val="hybridMultilevel"/>
    <w:lvl w:ilvl="0">
      <w:lvlJc w:val="left"/>
      <w:lvlText w:val="%1."/>
      <w:numFmt w:val="decimal"/>
      <w:start w:val="9"/>
    </w:lvl>
    <w:lvl w:ilvl="1">
      <w:lvlJc w:val="left"/>
      <w:lvlText w:val="(%2)"/>
      <w:numFmt w:val="lowerLetter"/>
      <w:start w:val="1"/>
    </w:lvl>
  </w:abstractNum>
  <w:abstractNum w:abstractNumId="100">
    <w:nsid w:val="3DB012B3"/>
    <w:multiLevelType w:val="hybridMultilevel"/>
    <w:lvl w:ilvl="0">
      <w:lvlJc w:val="left"/>
      <w:lvlText w:val="(%1)"/>
      <w:numFmt w:val="lowerLetter"/>
      <w:start w:val="3"/>
    </w:lvl>
    <w:lvl w:ilvl="1">
      <w:lvlJc w:val="left"/>
      <w:lvlText w:val="(%2)"/>
      <w:numFmt w:val="lowerRoman"/>
      <w:start w:val="1"/>
    </w:lvl>
  </w:abstractNum>
  <w:abstractNum w:abstractNumId="101">
    <w:nsid w:val="2708C9AF"/>
    <w:multiLevelType w:val="hybridMultilevel"/>
    <w:lvl w:ilvl="0">
      <w:lvlJc w:val="left"/>
      <w:lvlText w:val="%1"/>
      <w:numFmt w:val="lowerLetter"/>
      <w:start w:val="1"/>
    </w:lvl>
    <w:lvl w:ilvl="1">
      <w:lvlJc w:val="left"/>
      <w:lvlText w:val="(%2)"/>
      <w:numFmt w:val="lowerLetter"/>
      <w:start w:val="61"/>
    </w:lvl>
  </w:abstractNum>
  <w:abstractNum w:abstractNumId="102">
    <w:nsid w:val="5B25ACE2"/>
    <w:multiLevelType w:val="hybridMultilevel"/>
    <w:lvl w:ilvl="0">
      <w:lvlJc w:val="left"/>
      <w:lvlText w:val="(%1)"/>
      <w:numFmt w:val="lowerLetter"/>
      <w:start w:val="4"/>
    </w:lvl>
    <w:lvl w:ilvl="1">
      <w:lvlJc w:val="left"/>
      <w:lvlText w:val="%2"/>
      <w:numFmt w:val="lowerLetter"/>
      <w:start w:val="1"/>
    </w:lvl>
  </w:abstractNum>
  <w:abstractNum w:abstractNumId="103">
    <w:nsid w:val="175DFCF0"/>
    <w:multiLevelType w:val="hybridMultilevel"/>
    <w:lvl w:ilvl="0">
      <w:lvlJc w:val="left"/>
      <w:lvlText w:val="(%1)"/>
      <w:numFmt w:val="lowerLetter"/>
      <w:start w:val="7"/>
    </w:lvl>
    <w:lvl w:ilvl="1">
      <w:lvlJc w:val="left"/>
      <w:lvlText w:val="(%2)"/>
      <w:numFmt w:val="lowerRoman"/>
      <w:start w:val="1"/>
    </w:lvl>
  </w:abstractNum>
  <w:abstractNum w:abstractNumId="104">
    <w:nsid w:val="4F97E3E4"/>
    <w:multiLevelType w:val="hybridMultilevel"/>
    <w:lvl w:ilvl="0">
      <w:lvlJc w:val="left"/>
      <w:lvlText w:val="(%1)"/>
      <w:numFmt w:val="lowerLetter"/>
      <w:start w:val="8"/>
    </w:lvl>
  </w:abstractNum>
  <w:abstractNum w:abstractNumId="105">
    <w:nsid w:val="53B0A9E"/>
    <w:multiLevelType w:val="hybridMultilevel"/>
    <w:lvl w:ilvl="0">
      <w:lvlJc w:val="left"/>
      <w:lvlText w:val="%1."/>
      <w:numFmt w:val="decimal"/>
      <w:start w:val="1"/>
    </w:lvl>
    <w:lvl w:ilvl="1">
      <w:lvlJc w:val="left"/>
      <w:lvlText w:val="(%2)"/>
      <w:numFmt w:val="lowerLetter"/>
      <w:start w:val="1"/>
    </w:lvl>
  </w:abstractNum>
  <w:abstractNum w:abstractNumId="106">
    <w:nsid w:val="34FD6B4F"/>
    <w:multiLevelType w:val="hybridMultilevel"/>
    <w:lvl w:ilvl="0">
      <w:lvlJc w:val="left"/>
      <w:lvlText w:val="(%1)"/>
      <w:numFmt w:val="lowerLetter"/>
      <w:start w:val="5"/>
    </w:lvl>
  </w:abstractNum>
  <w:abstractNum w:abstractNumId="107">
    <w:nsid w:val="5915FF3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08">
    <w:nsid w:val="56438D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9">
    <w:nsid w:val="519E314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0">
    <w:nsid w:val="2C6E4AFD"/>
    <w:multiLevelType w:val="hybridMultilevel"/>
    <w:lvl w:ilvl="0">
      <w:lvlJc w:val="left"/>
      <w:lvlText w:val="%1"/>
      <w:numFmt w:val="upperLetter"/>
      <w:start w:val="1"/>
    </w:lvl>
    <w:lvl w:ilvl="1">
      <w:lvlJc w:val="left"/>
      <w:lvlText w:val="(%2)"/>
      <w:numFmt w:val="lowerRoman"/>
      <w:start w:val="1"/>
    </w:lvl>
  </w:abstractNum>
  <w:abstractNum w:abstractNumId="111">
    <w:nsid w:val="17A1B582"/>
    <w:multiLevelType w:val="hybridMultilevel"/>
    <w:lvl w:ilvl="0">
      <w:lvlJc w:val="left"/>
      <w:lvlText w:val="(%1)"/>
      <w:numFmt w:val="upperLetter"/>
      <w:start w:val="3"/>
    </w:lvl>
    <w:lvl w:ilvl="1">
      <w:lvlJc w:val="left"/>
      <w:lvlText w:val="(%2)"/>
      <w:numFmt w:val="lowerRoman"/>
      <w:start w:val="2"/>
    </w:lvl>
  </w:abstractNum>
  <w:abstractNum w:abstractNumId="112">
    <w:nsid w:val="4DF72E4E"/>
    <w:multiLevelType w:val="hybridMultilevel"/>
    <w:lvl w:ilvl="0">
      <w:lvlJc w:val="left"/>
      <w:lvlText w:val="(%1)"/>
      <w:numFmt w:val="lowerRoman"/>
      <w:start w:val="3"/>
    </w:lvl>
  </w:abstractNum>
  <w:abstractNum w:abstractNumId="113">
    <w:nsid w:val="5046B5A9"/>
    <w:multiLevelType w:val="hybridMultilevel"/>
    <w:lvl w:ilvl="0">
      <w:lvlJc w:val="left"/>
      <w:lvlText w:val="(%1)"/>
      <w:numFmt w:val="lowerLetter"/>
      <w:start w:val="2"/>
    </w:lvl>
    <w:lvl w:ilvl="1">
      <w:lvlJc w:val="left"/>
      <w:lvlText w:val="(%2)"/>
      <w:numFmt w:val="lowerRoman"/>
      <w:start w:val="1"/>
    </w:lvl>
  </w:abstractNum>
  <w:abstractNum w:abstractNumId="114">
    <w:nsid w:val="5D888A0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15">
    <w:nsid w:val="2A082C7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6">
    <w:nsid w:val="5EC6AFD4"/>
    <w:multiLevelType w:val="hybridMultilevel"/>
    <w:lvl w:ilvl="0">
      <w:lvlJc w:val="left"/>
      <w:lvlText w:val="%1"/>
      <w:numFmt w:val="lowerLetter"/>
      <w:start w:val="1"/>
    </w:lvl>
    <w:lvl w:ilvl="1">
      <w:lvlJc w:val="left"/>
      <w:lvlText w:val="(%2)"/>
      <w:numFmt w:val="lowerLetter"/>
      <w:start w:val="35"/>
    </w:lvl>
  </w:abstractNum>
  <w:abstractNum w:abstractNumId="117">
    <w:nsid w:val="19E21BB2"/>
    <w:multiLevelType w:val="hybridMultilevel"/>
    <w:lvl w:ilvl="0">
      <w:lvlJc w:val="left"/>
      <w:lvlText w:val="(%1)"/>
      <w:numFmt w:val="lowerLetter"/>
      <w:start w:val="2"/>
    </w:lvl>
    <w:lvl w:ilvl="1">
      <w:lvlJc w:val="left"/>
      <w:lvlText w:val="%2"/>
      <w:numFmt w:val="lowerLetter"/>
      <w:start w:val="1"/>
    </w:lvl>
  </w:abstractNum>
  <w:abstractNum w:abstractNumId="118">
    <w:nsid w:val="75E0858A"/>
    <w:multiLevelType w:val="hybridMultilevel"/>
    <w:lvl w:ilvl="0">
      <w:lvlJc w:val="left"/>
      <w:lvlText w:val="%1."/>
      <w:numFmt w:val="decimal"/>
      <w:start w:val="5"/>
    </w:lvl>
  </w:abstractNum>
  <w:abstractNum w:abstractNumId="119">
    <w:nsid w:val="57A61A29"/>
    <w:multiLevelType w:val="hybridMultilevel"/>
    <w:lvl w:ilvl="0">
      <w:lvlJc w:val="left"/>
      <w:lvlText w:val="%1."/>
      <w:numFmt w:val="decimal"/>
      <w:start w:val="10"/>
    </w:lvl>
    <w:lvl w:ilvl="1">
      <w:lvlJc w:val="left"/>
      <w:lvlText w:val="(%2)"/>
      <w:numFmt w:val="lowerLetter"/>
      <w:start w:val="1"/>
    </w:lvl>
  </w:abstractNum>
  <w:abstractNum w:abstractNumId="120">
    <w:nsid w:val="5399C654"/>
    <w:multiLevelType w:val="hybridMultilevel"/>
    <w:lvl w:ilvl="0">
      <w:lvlJc w:val="left"/>
      <w:lvlText w:val="(%1)"/>
      <w:numFmt w:val="lowerLetter"/>
      <w:start w:val="2"/>
    </w:lvl>
  </w:abstractNum>
  <w:abstractNum w:abstractNumId="121">
    <w:nsid w:val="20EE1348"/>
    <w:multiLevelType w:val="hybridMultilevel"/>
    <w:lvl w:ilvl="0">
      <w:lvlJc w:val="left"/>
      <w:lvlText w:val="%1."/>
      <w:numFmt w:val="decimal"/>
      <w:start w:val="12"/>
    </w:lvl>
    <w:lvl w:ilvl="1">
      <w:lvlJc w:val="left"/>
      <w:lvlText w:val="(%2)"/>
      <w:numFmt w:val="lowerLetter"/>
      <w:start w:val="1"/>
    </w:lvl>
  </w:abstractNum>
  <w:abstractNum w:abstractNumId="122">
    <w:nsid w:val="4427069A"/>
    <w:multiLevelType w:val="hybridMultilevel"/>
    <w:lvl w:ilvl="0">
      <w:lvlJc w:val="left"/>
      <w:lvlText w:val="(%1)"/>
      <w:numFmt w:val="lowerLetter"/>
      <w:start w:val="2"/>
    </w:lvl>
  </w:abstractNum>
  <w:abstractNum w:abstractNumId="123">
    <w:nsid w:val="B37E80A"/>
    <w:multiLevelType w:val="hybridMultilevel"/>
    <w:lvl w:ilvl="0">
      <w:lvlJc w:val="left"/>
      <w:lvlText w:val="(%1)"/>
      <w:numFmt w:val="lowerLetter"/>
      <w:start w:val="2"/>
    </w:lvl>
  </w:abstractNum>
  <w:abstractNum w:abstractNumId="124">
    <w:nsid w:val="2157F6BC"/>
    <w:multiLevelType w:val="hybridMultilevel"/>
    <w:lvl w:ilvl="0">
      <w:lvlJc w:val="left"/>
      <w:lvlText w:val="(%1)"/>
      <w:numFmt w:val="lowerLetter"/>
      <w:start w:val="4"/>
    </w:lvl>
  </w:abstractNum>
  <w:abstractNum w:abstractNumId="125">
    <w:nsid w:val="704E1DD5"/>
    <w:multiLevelType w:val="hybridMultilevel"/>
    <w:lvl w:ilvl="0">
      <w:lvlJc w:val="left"/>
      <w:lvlText w:val="%1"/>
      <w:numFmt w:val="decimal"/>
      <w:start w:val="1"/>
    </w:lvl>
    <w:lvl w:ilvl="1">
      <w:lvlJc w:val="left"/>
      <w:lvlText w:val="(%2)"/>
      <w:numFmt w:val="lowerLetter"/>
      <w:start w:val="7"/>
    </w:lvl>
  </w:abstractNum>
  <w:abstractNum w:abstractNumId="126">
    <w:nsid w:val="57D2F10E"/>
    <w:multiLevelType w:val="hybridMultilevel"/>
    <w:lvl w:ilvl="0">
      <w:lvlJc w:val="left"/>
      <w:lvlText w:val="%1."/>
      <w:numFmt w:val="decimal"/>
      <w:start w:val="14"/>
    </w:lvl>
    <w:lvl w:ilvl="1">
      <w:lvlJc w:val="left"/>
      <w:lvlText w:val="(%2)"/>
      <w:numFmt w:val="lowerLetter"/>
      <w:start w:val="1"/>
    </w:lvl>
  </w:abstractNum>
  <w:abstractNum w:abstractNumId="127">
    <w:nsid w:val="BFFAE18"/>
    <w:multiLevelType w:val="hybridMultilevel"/>
    <w:lvl w:ilvl="0">
      <w:lvlJc w:val="left"/>
      <w:lvlText w:val="%1"/>
      <w:numFmt w:val="decimal"/>
      <w:start w:val="1"/>
    </w:lvl>
    <w:lvl w:ilvl="1">
      <w:lvlJc w:val="left"/>
      <w:lvlText w:val="(%2)"/>
      <w:numFmt w:val="lowerLetter"/>
      <w:start w:val="3"/>
    </w:lvl>
  </w:abstractNum>
  <w:abstractNum w:abstractNumId="128">
    <w:nsid w:val="E3E47A8"/>
    <w:multiLevelType w:val="hybridMultilevel"/>
    <w:lvl w:ilvl="0">
      <w:lvlJc w:val="left"/>
      <w:lvlText w:val="%1."/>
      <w:numFmt w:val="decimal"/>
      <w:start w:val="15"/>
    </w:lvl>
    <w:lvl w:ilvl="1">
      <w:lvlJc w:val="left"/>
      <w:lvlText w:val="%2"/>
      <w:numFmt w:val="lowerLetter"/>
      <w:start w:val="1"/>
    </w:lvl>
  </w:abstractNum>
  <w:abstractNum w:abstractNumId="129">
    <w:nsid w:val="2E48F044"/>
    <w:multiLevelType w:val="hybridMultilevel"/>
    <w:lvl w:ilvl="0">
      <w:lvlJc w:val="left"/>
      <w:lvlText w:val="%1."/>
      <w:numFmt w:val="decimal"/>
      <w:start w:val="16"/>
    </w:lvl>
    <w:lvl w:ilvl="1">
      <w:lvlJc w:val="left"/>
      <w:lvlText w:val="(%2)"/>
      <w:numFmt w:val="lowerLetter"/>
      <w:start w:val="1"/>
    </w:lvl>
  </w:abstractNum>
  <w:abstractNum w:abstractNumId="130">
    <w:nsid w:val="49D0FEAC"/>
    <w:multiLevelType w:val="hybridMultilevel"/>
    <w:lvl w:ilvl="0">
      <w:lvlJc w:val="left"/>
      <w:lvlText w:val="%1"/>
      <w:numFmt w:val="decimal"/>
      <w:start w:val="1"/>
    </w:lvl>
    <w:lvl w:ilvl="1">
      <w:lvlJc w:val="left"/>
      <w:lvlText w:val="(%2)"/>
      <w:numFmt w:val="lowerLetter"/>
      <w:start w:val="3"/>
    </w:lvl>
  </w:abstractNum>
  <w:abstractNum w:abstractNumId="131">
    <w:nsid w:val="4BEE5A5B"/>
    <w:multiLevelType w:val="hybridMultilevel"/>
    <w:lvl w:ilvl="0">
      <w:lvlJc w:val="left"/>
      <w:lvlText w:val="%1."/>
      <w:numFmt w:val="decimal"/>
      <w:start w:val="17"/>
    </w:lvl>
    <w:lvl w:ilvl="1">
      <w:lvlJc w:val="left"/>
      <w:lvlText w:val="%2"/>
      <w:numFmt w:val="lowerLetter"/>
      <w:start w:val="1"/>
    </w:lvl>
  </w:abstractNum>
  <w:abstractNum w:abstractNumId="132">
    <w:nsid w:val="5551B9F3"/>
    <w:multiLevelType w:val="hybridMultilevel"/>
    <w:lvl w:ilvl="0">
      <w:lvlJc w:val="left"/>
      <w:lvlText w:val="%1."/>
      <w:numFmt w:val="decimal"/>
      <w:start w:val="21"/>
    </w:lvl>
  </w:abstractNum>
  <w:abstractNum w:abstractNumId="133">
    <w:nsid w:val="24F6AB8E"/>
    <w:multiLevelType w:val="hybridMultilevel"/>
    <w:lvl w:ilvl="0">
      <w:lvlJc w:val="left"/>
      <w:lvlText w:val="%1."/>
      <w:numFmt w:val="decimal"/>
      <w:start w:val="27"/>
    </w:lvl>
  </w:abstractNum>
  <w:abstractNum w:abstractNumId="134">
    <w:nsid w:val="634C574C"/>
    <w:multiLevelType w:val="hybridMultilevel"/>
    <w:lvl w:ilvl="0">
      <w:lvlJc w:val="left"/>
      <w:lvlText w:val="%1."/>
      <w:numFmt w:val="decimal"/>
      <w:start w:val="1"/>
    </w:lvl>
  </w:abstractNum>
  <w:abstractNum w:abstractNumId="135">
    <w:nsid w:val="24E99DD7"/>
    <w:multiLevelType w:val="hybridMultilevel"/>
    <w:lvl w:ilvl="0">
      <w:lvlJc w:val="left"/>
      <w:lvlText w:val="%1."/>
      <w:numFmt w:val="decimal"/>
      <w:start w:val="2"/>
    </w:lvl>
  </w:abstractNum>
  <w:abstractNum w:abstractNumId="136">
    <w:nsid w:val="2A31B62D"/>
    <w:multiLevelType w:val="hybridMultilevel"/>
    <w:lvl w:ilvl="0">
      <w:lvlJc w:val="left"/>
      <w:lvlText w:val="%1."/>
      <w:numFmt w:val="decimal"/>
      <w:start w:val="4"/>
    </w:lvl>
  </w:abstractNum>
  <w:abstractNum w:abstractNumId="137">
    <w:nsid w:val="1849C29B"/>
    <w:multiLevelType w:val="hybridMultilevel"/>
    <w:lvl w:ilvl="0">
      <w:lvlJc w:val="left"/>
      <w:lvlText w:val="%1."/>
      <w:numFmt w:val="decimal"/>
      <w:start w:val="7"/>
    </w:lvl>
  </w:abstractNum>
  <w:abstractNum w:abstractNumId="138">
    <w:nsid w:val="7DFF9D09"/>
    <w:multiLevelType w:val="hybridMultilevel"/>
    <w:lvl w:ilvl="0">
      <w:lvlJc w:val="left"/>
      <w:lvlText w:val="%1."/>
      <w:numFmt w:val="decimal"/>
      <w:start w:val="8"/>
    </w:lvl>
  </w:abstractNum>
  <w:abstractNum w:abstractNumId="139">
    <w:nsid w:val="754342"/>
    <w:multiLevelType w:val="hybridMultilevel"/>
    <w:lvl w:ilvl="0">
      <w:lvlJc w:val="left"/>
      <w:lvlText w:val="%1."/>
      <w:numFmt w:val="decimal"/>
      <w:start w:val="10"/>
    </w:lvl>
  </w:abstractNum>
  <w:abstractNum w:abstractNumId="140">
    <w:nsid w:val="69E7F3E5"/>
    <w:multiLevelType w:val="hybridMultilevel"/>
    <w:lvl w:ilvl="0">
      <w:lvlJc w:val="left"/>
      <w:lvlText w:val="%1."/>
      <w:numFmt w:val="lowerRoman"/>
      <w:start w:val="2"/>
    </w:lvl>
  </w:abstractNum>
  <w:abstractNum w:abstractNumId="141">
    <w:nsid w:val="2A6DE80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3" Type="http://schemas.openxmlformats.org/officeDocument/2006/relationships/image" Target="media/image175.png"/><Relationship Id="rId196" Type="http://schemas.openxmlformats.org/officeDocument/2006/relationships/image" Target="media/image176.png"/><Relationship Id="rId233" Type="http://schemas.openxmlformats.org/officeDocument/2006/relationships/image" Target="media/image177.png"/><Relationship Id="rId246" Type="http://schemas.openxmlformats.org/officeDocument/2006/relationships/image" Target="media/image178.png"/><Relationship Id="rId269" Type="http://schemas.openxmlformats.org/officeDocument/2006/relationships/image" Target="media/image179.png"/><Relationship Id="rId270" Type="http://schemas.openxmlformats.org/officeDocument/2006/relationships/image" Target="media/image180.png"/><Relationship Id="rId271" Type="http://schemas.openxmlformats.org/officeDocument/2006/relationships/image" Target="media/image181.png"/><Relationship Id="rId272" Type="http://schemas.openxmlformats.org/officeDocument/2006/relationships/image" Target="media/image182.jpeg"/><Relationship Id="rId273" Type="http://schemas.openxmlformats.org/officeDocument/2006/relationships/image" Target="media/image183.png"/><Relationship Id="rId274" Type="http://schemas.openxmlformats.org/officeDocument/2006/relationships/image" Target="media/image184.png"/><Relationship Id="rId275" Type="http://schemas.openxmlformats.org/officeDocument/2006/relationships/image" Target="media/image185.png"/><Relationship Id="rId276" Type="http://schemas.openxmlformats.org/officeDocument/2006/relationships/image" Target="media/image186.png"/><Relationship Id="rId277" Type="http://schemas.openxmlformats.org/officeDocument/2006/relationships/image" Target="media/image187.png"/><Relationship Id="rId278" Type="http://schemas.openxmlformats.org/officeDocument/2006/relationships/image" Target="media/image188.png"/><Relationship Id="rId279" Type="http://schemas.openxmlformats.org/officeDocument/2006/relationships/image" Target="media/image189.png"/><Relationship Id="rId280" Type="http://schemas.openxmlformats.org/officeDocument/2006/relationships/image" Target="media/image190.png"/><Relationship Id="rId281" Type="http://schemas.openxmlformats.org/officeDocument/2006/relationships/image" Target="media/image191.png"/><Relationship Id="rId282" Type="http://schemas.openxmlformats.org/officeDocument/2006/relationships/image" Target="media/image192.png"/><Relationship Id="rId283" Type="http://schemas.openxmlformats.org/officeDocument/2006/relationships/image" Target="media/image193.png"/><Relationship Id="rId284" Type="http://schemas.openxmlformats.org/officeDocument/2006/relationships/image" Target="media/image194.png"/><Relationship Id="rId285" Type="http://schemas.openxmlformats.org/officeDocument/2006/relationships/image" Target="media/image195.png"/><Relationship Id="rId286" Type="http://schemas.openxmlformats.org/officeDocument/2006/relationships/image" Target="media/image196.png"/><Relationship Id="rId287" Type="http://schemas.openxmlformats.org/officeDocument/2006/relationships/image" Target="media/image197.png"/><Relationship Id="rId288" Type="http://schemas.openxmlformats.org/officeDocument/2006/relationships/image" Target="media/image198.png"/><Relationship Id="rId289" Type="http://schemas.openxmlformats.org/officeDocument/2006/relationships/image" Target="media/image199.png"/><Relationship Id="rId290" Type="http://schemas.openxmlformats.org/officeDocument/2006/relationships/image" Target="media/image200.png"/><Relationship Id="rId291" Type="http://schemas.openxmlformats.org/officeDocument/2006/relationships/image" Target="media/image201.png"/><Relationship Id="rId292" Type="http://schemas.openxmlformats.org/officeDocument/2006/relationships/image" Target="media/image202.png"/><Relationship Id="rId293" Type="http://schemas.openxmlformats.org/officeDocument/2006/relationships/image" Target="media/image203.png"/><Relationship Id="rId294" Type="http://schemas.openxmlformats.org/officeDocument/2006/relationships/image" Target="media/image204.png"/><Relationship Id="rId295" Type="http://schemas.openxmlformats.org/officeDocument/2006/relationships/image" Target="media/image205.png"/><Relationship Id="rId296" Type="http://schemas.openxmlformats.org/officeDocument/2006/relationships/image" Target="media/image206.png"/><Relationship Id="rId297" Type="http://schemas.openxmlformats.org/officeDocument/2006/relationships/image" Target="media/image207.png"/><Relationship Id="rId298" Type="http://schemas.openxmlformats.org/officeDocument/2006/relationships/image" Target="media/image208.png"/><Relationship Id="rId299" Type="http://schemas.openxmlformats.org/officeDocument/2006/relationships/image" Target="media/image209.png"/><Relationship Id="rId300" Type="http://schemas.openxmlformats.org/officeDocument/2006/relationships/image" Target="media/image210.png"/><Relationship Id="rId301" Type="http://schemas.openxmlformats.org/officeDocument/2006/relationships/image" Target="media/image211.jpeg"/><Relationship Id="rId302" Type="http://schemas.openxmlformats.org/officeDocument/2006/relationships/image" Target="media/image212.png"/><Relationship Id="rId303" Type="http://schemas.openxmlformats.org/officeDocument/2006/relationships/image" Target="media/image213.png"/><Relationship Id="rId304" Type="http://schemas.openxmlformats.org/officeDocument/2006/relationships/image" Target="media/image214.png"/><Relationship Id="rId305" Type="http://schemas.openxmlformats.org/officeDocument/2006/relationships/image" Target="media/image215.png"/><Relationship Id="rId306" Type="http://schemas.openxmlformats.org/officeDocument/2006/relationships/image" Target="media/image216.png"/><Relationship Id="rId307" Type="http://schemas.openxmlformats.org/officeDocument/2006/relationships/image" Target="media/image217.png"/><Relationship Id="rId308" Type="http://schemas.openxmlformats.org/officeDocument/2006/relationships/image" Target="media/image218.png"/><Relationship Id="rId309" Type="http://schemas.openxmlformats.org/officeDocument/2006/relationships/image" Target="media/image219.png"/><Relationship Id="rId310" Type="http://schemas.openxmlformats.org/officeDocument/2006/relationships/image" Target="media/image220.png"/><Relationship Id="rId311" Type="http://schemas.openxmlformats.org/officeDocument/2006/relationships/image" Target="media/image221.png"/><Relationship Id="rId312" Type="http://schemas.openxmlformats.org/officeDocument/2006/relationships/image" Target="media/image222.png"/><Relationship Id="rId313" Type="http://schemas.openxmlformats.org/officeDocument/2006/relationships/image" Target="media/image223.png"/><Relationship Id="rId314" Type="http://schemas.openxmlformats.org/officeDocument/2006/relationships/image" Target="media/image224.png"/><Relationship Id="rId315" Type="http://schemas.openxmlformats.org/officeDocument/2006/relationships/image" Target="media/image225.png"/><Relationship Id="rId316" Type="http://schemas.openxmlformats.org/officeDocument/2006/relationships/image" Target="media/image226.png"/><Relationship Id="rId317" Type="http://schemas.openxmlformats.org/officeDocument/2006/relationships/image" Target="media/image227.png"/><Relationship Id="rId318" Type="http://schemas.openxmlformats.org/officeDocument/2006/relationships/image" Target="media/image228.png"/><Relationship Id="rId319" Type="http://schemas.openxmlformats.org/officeDocument/2006/relationships/image" Target="media/image229.png"/><Relationship Id="rId320" Type="http://schemas.openxmlformats.org/officeDocument/2006/relationships/image" Target="media/image230.png"/><Relationship Id="rId321" Type="http://schemas.openxmlformats.org/officeDocument/2006/relationships/image" Target="media/image231.png"/><Relationship Id="rId322" Type="http://schemas.openxmlformats.org/officeDocument/2006/relationships/image" Target="media/image232.png"/><Relationship Id="rId323" Type="http://schemas.openxmlformats.org/officeDocument/2006/relationships/image" Target="media/image233.png"/><Relationship Id="rId324" Type="http://schemas.openxmlformats.org/officeDocument/2006/relationships/image" Target="media/image234.png"/><Relationship Id="rId325" Type="http://schemas.openxmlformats.org/officeDocument/2006/relationships/image" Target="media/image235.png"/><Relationship Id="rId326" Type="http://schemas.openxmlformats.org/officeDocument/2006/relationships/image" Target="media/image236.png"/><Relationship Id="rId327" Type="http://schemas.openxmlformats.org/officeDocument/2006/relationships/image" Target="media/image237.jpeg"/><Relationship Id="rId328" Type="http://schemas.openxmlformats.org/officeDocument/2006/relationships/image" Target="media/image238.png"/><Relationship Id="rId329" Type="http://schemas.openxmlformats.org/officeDocument/2006/relationships/image" Target="media/image239.png"/><Relationship Id="rId330" Type="http://schemas.openxmlformats.org/officeDocument/2006/relationships/image" Target="media/image240.png"/><Relationship Id="rId331" Type="http://schemas.openxmlformats.org/officeDocument/2006/relationships/image" Target="media/image241.png"/><Relationship Id="rId332" Type="http://schemas.openxmlformats.org/officeDocument/2006/relationships/image" Target="media/image242.png"/><Relationship Id="rId333" Type="http://schemas.openxmlformats.org/officeDocument/2006/relationships/image" Target="media/image243.png"/><Relationship Id="rId334" Type="http://schemas.openxmlformats.org/officeDocument/2006/relationships/image" Target="media/image244.png"/><Relationship Id="rId335" Type="http://schemas.openxmlformats.org/officeDocument/2006/relationships/image" Target="media/image245.png"/><Relationship Id="rId336" Type="http://schemas.openxmlformats.org/officeDocument/2006/relationships/image" Target="media/image246.png"/><Relationship Id="rId337" Type="http://schemas.openxmlformats.org/officeDocument/2006/relationships/image" Target="media/image247.png"/><Relationship Id="rId338" Type="http://schemas.openxmlformats.org/officeDocument/2006/relationships/image" Target="media/image248.png"/><Relationship Id="rId182" Type="http://schemas.openxmlformats.org/officeDocument/2006/relationships/hyperlink" Target="https://www.sec.gov/Archives/edgar/data/1855467/000110465923130104/tm2333672d1_ex2-4.htm" TargetMode="External"/><Relationship Id="rId184" Type="http://schemas.openxmlformats.org/officeDocument/2006/relationships/hyperlink" Target="https://www.sec.gov/Archives/edgar/data/1855467/000110465923130104/tm2333672d1_ex2-5.htm" TargetMode="External"/><Relationship Id="rId185" Type="http://schemas.openxmlformats.org/officeDocument/2006/relationships/hyperlink" Target="https://www.sec.gov/Archives/edgar/data/1855467/000110465923130104/tm2333672d1_ex3-1.htm" TargetMode="External"/><Relationship Id="rId186" Type="http://schemas.openxmlformats.org/officeDocument/2006/relationships/hyperlink" Target="https://www.sec.gov/Archives/edgar/data/1855467/000121390024029035/ea020156601ex3-2_mobix.htm" TargetMode="External"/><Relationship Id="rId187" Type="http://schemas.openxmlformats.org/officeDocument/2006/relationships/hyperlink" Target="https://www.sec.gov/Archives/edgar/data/1855467/000110465923130104/tm2333672d1_ex3-2.htm" TargetMode="External"/><Relationship Id="rId188" Type="http://schemas.openxmlformats.org/officeDocument/2006/relationships/hyperlink" Target="https://www.sec.gov/Archives/edgar/data/1855467/000110465923130104/tm2333672d1_ex4-1.htm" TargetMode="External"/><Relationship Id="rId189" Type="http://schemas.openxmlformats.org/officeDocument/2006/relationships/hyperlink" Target="https://www.sec.gov/Archives/edgar/data/1855467/000110465923130104/tm2333672d1_ex4-2.htm" TargetMode="External"/><Relationship Id="rId190" Type="http://schemas.openxmlformats.org/officeDocument/2006/relationships/hyperlink" Target="https://www.sec.gov/Archives/edgar/data/1855467/000110465921095311/tm2112269d9_ex4-1.htm" TargetMode="External"/><Relationship Id="rId191" Type="http://schemas.openxmlformats.org/officeDocument/2006/relationships/hyperlink" Target="https://www.sec.gov/Archives/edgar/data/1855467/000110465923130104/tm2333672d1_ex4-4.htm" TargetMode="External"/><Relationship Id="rId192" Type="http://schemas.openxmlformats.org/officeDocument/2006/relationships/hyperlink" Target="https://www.sec.gov/Archives/edgar/data/1855467/000101376224000772/ea020989801ex4-1_mobix.htm" TargetMode="External"/><Relationship Id="rId193" Type="http://schemas.openxmlformats.org/officeDocument/2006/relationships/hyperlink" Target="https://www.sec.gov/Archives/edgar/data/1855467/000101376224000772/ea020989801ex4-4_mobix.htm" TargetMode="External"/><Relationship Id="rId194" Type="http://schemas.openxmlformats.org/officeDocument/2006/relationships/hyperlink" Target="https://www.sec.gov/Archives/edgar/data/1855467/000164117225002885/ex4-2.htm" TargetMode="External"/><Relationship Id="rId195" Type="http://schemas.openxmlformats.org/officeDocument/2006/relationships/hyperlink" Target="https://www.sec.gov/Archives/edgar/data/1855467/000164117225002885/ex4-3.htm" TargetMode="External"/><Relationship Id="rId197" Type="http://schemas.openxmlformats.org/officeDocument/2006/relationships/hyperlink" Target="https://www.sec.gov/Archives/edgar/data/1855467/000149315225012596/ex4-3.htm" TargetMode="External"/><Relationship Id="rId198" Type="http://schemas.openxmlformats.org/officeDocument/2006/relationships/hyperlink" Target="https://www.sec.gov/Archives/edgar/data/1855467/000149315225017858/ex4-15.htm" TargetMode="External"/><Relationship Id="rId199" Type="http://schemas.openxmlformats.org/officeDocument/2006/relationships/hyperlink" Target="https://www.sec.gov/Archives/edgar/data/1855467/000149315225020249/ex4-1.htm" TargetMode="External"/><Relationship Id="rId200" Type="http://schemas.openxmlformats.org/officeDocument/2006/relationships/hyperlink" Target="https://www.sec.gov/Archives/edgar/data/1855467/000149315225020249/ex4-2.htm" TargetMode="External"/><Relationship Id="rId201" Type="http://schemas.openxmlformats.org/officeDocument/2006/relationships/hyperlink" Target="https://www.sec.gov/Archives/edgar/data/1855467/000149315226001921/ex4-13.htm" TargetMode="External"/><Relationship Id="rId202" Type="http://schemas.openxmlformats.org/officeDocument/2006/relationships/hyperlink" Target="https://www.sec.gov/Archives/edgar/data/1855467/000149315225020249/ex4-4.htm" TargetMode="External"/><Relationship Id="rId203" Type="http://schemas.openxmlformats.org/officeDocument/2006/relationships/hyperlink" Target="https://www.sec.gov/Archives/edgar/data/1855467/000149315225020249/ex4-5.htm" TargetMode="External"/><Relationship Id="rId204" Type="http://schemas.openxmlformats.org/officeDocument/2006/relationships/hyperlink" Target="https://www.sec.gov/Archives/edgar/data/1855467/000149315226019180/ex4-17.htm" TargetMode="External"/><Relationship Id="rId205" Type="http://schemas.openxmlformats.org/officeDocument/2006/relationships/hyperlink" Target="https://www.sec.gov/Archives/edgar/data/1855467/000149315226024661/ex4-2.htm" TargetMode="External"/><Relationship Id="rId206" Type="http://schemas.openxmlformats.org/officeDocument/2006/relationships/hyperlink" Target="https://www.sec.gov/Archives/edgar/data/1855467/000149315226024661/ex4-3.htm" TargetMode="External"/><Relationship Id="rId207" Type="http://schemas.openxmlformats.org/officeDocument/2006/relationships/hyperlink" Target="https://www.sec.gov/Archives/edgar/data/1855467/000149315226040658/ex4-2.htm" TargetMode="External"/><Relationship Id="rId208" Type="http://schemas.openxmlformats.org/officeDocument/2006/relationships/hyperlink" Target="https://www.sec.gov/Archives/edgar/data/1855467/000149315226029436/ex4-20.htm" TargetMode="External"/><Relationship Id="rId209" Type="http://schemas.openxmlformats.org/officeDocument/2006/relationships/hyperlink" Target="https://www.sec.gov/Archives/edgar/data/1855467/000149315226030338/ex4-1.htm" TargetMode="External"/><Relationship Id="rId210" Type="http://schemas.openxmlformats.org/officeDocument/2006/relationships/hyperlink" Target="https://www.sec.gov/Archives/edgar/data/1855467/000149315226040658/ex4-1.htm" TargetMode="External"/><Relationship Id="rId211" Type="http://schemas.openxmlformats.org/officeDocument/2006/relationships/hyperlink" Target="https://www.sec.gov/Archives/edgar/data/1855467/000110465921095311/tm2112269d9_ex10-1.htm" TargetMode="External"/><Relationship Id="rId212" Type="http://schemas.openxmlformats.org/officeDocument/2006/relationships/hyperlink" Target="https://www.sec.gov/Archives/edgar/data/1855467/000110465923130104/tm2333672d1_ex10-2.htm" TargetMode="External"/><Relationship Id="rId213" Type="http://schemas.openxmlformats.org/officeDocument/2006/relationships/hyperlink" Target="https://www.sec.gov/Archives/edgar/data/1855467/000110465923130104/tm2333672d1_ex10-3.htm" TargetMode="External"/><Relationship Id="rId214" Type="http://schemas.openxmlformats.org/officeDocument/2006/relationships/hyperlink" Target="https://www.sec.gov/Archives/edgar/data/1855467/000110465923130104/tm2333672d1_ex10-5.htm" TargetMode="External"/><Relationship Id="rId215" Type="http://schemas.openxmlformats.org/officeDocument/2006/relationships/hyperlink" Target="https://www.sec.gov/Archives/edgar/data/1855467/000110465923113943/clay-20230630xex10d14.htm" TargetMode="External"/><Relationship Id="rId216" Type="http://schemas.openxmlformats.org/officeDocument/2006/relationships/hyperlink" Target="https://www.sec.gov/Archives/edgar/data/1855467/000110465923113943/clay-20230630xex10d15.htm" TargetMode="External"/><Relationship Id="rId217" Type="http://schemas.openxmlformats.org/officeDocument/2006/relationships/hyperlink" Target="https://www.sec.gov/Archives/edgar/data/1855467/000110465923113943/clay-20230630xex10d16.htm" TargetMode="External"/><Relationship Id="rId218" Type="http://schemas.openxmlformats.org/officeDocument/2006/relationships/hyperlink" Target="https://www.sec.gov/Archives/edgar/data/1855467/000110465923113943/clay-20230630xex10d17.htm" TargetMode="External"/><Relationship Id="rId219" Type="http://schemas.openxmlformats.org/officeDocument/2006/relationships/hyperlink" Target="https://www.sec.gov/Archives/edgar/data/1855467/000110465923043213/clay-20220930xex10d16.htm" TargetMode="External"/><Relationship Id="rId220" Type="http://schemas.openxmlformats.org/officeDocument/2006/relationships/hyperlink" Target="https://www.sec.gov/Archives/edgar/data/1855467/000110465923043213/clay-20220930xex10d19.htm" TargetMode="External"/><Relationship Id="rId221" Type="http://schemas.openxmlformats.org/officeDocument/2006/relationships/hyperlink" Target="https://www.sec.gov/Archives/edgar/data/1855467/000110465923043213/clay-20220930xex10d20.htm" TargetMode="External"/><Relationship Id="rId222" Type="http://schemas.openxmlformats.org/officeDocument/2006/relationships/hyperlink" Target="https://www.sec.gov/Archives/edgar/data/1855467/000110465923043213/clay-20220930xex10d21.htm" TargetMode="External"/><Relationship Id="rId223" Type="http://schemas.openxmlformats.org/officeDocument/2006/relationships/hyperlink" Target="https://www.sec.gov/Archives/edgar/data/1855467/000110465923043213/clay-20220930xex10d22.htm" TargetMode="External"/><Relationship Id="rId224" Type="http://schemas.openxmlformats.org/officeDocument/2006/relationships/hyperlink" Target="https://www.sec.gov/Archives/edgar/data/1855467/000110465923043213/clay-20220930xex10d23.htm" TargetMode="External"/><Relationship Id="rId225" Type="http://schemas.openxmlformats.org/officeDocument/2006/relationships/hyperlink" Target="https://www.sec.gov/Archives/edgar/data/1855467/000110465923043213/clay-20220930xex10d24.htm" TargetMode="External"/><Relationship Id="rId226" Type="http://schemas.openxmlformats.org/officeDocument/2006/relationships/hyperlink" Target="https://www.sec.gov/Archives/edgar/data/1855467/000110465923043213/clay-20220930xex10d25.htm" TargetMode="External"/><Relationship Id="rId227" Type="http://schemas.openxmlformats.org/officeDocument/2006/relationships/hyperlink" Target="https://www.sec.gov/Archives/edgar/data/1855467/000110465923127135/tm2333098d1_ex10-1.htm" TargetMode="External"/><Relationship Id="rId228" Type="http://schemas.openxmlformats.org/officeDocument/2006/relationships/hyperlink" Target="https://www.sec.gov/Archives/edgar/data/1855467/000110465923127135/tm2333098d1_ex10-2.htm" TargetMode="External"/><Relationship Id="rId229" Type="http://schemas.openxmlformats.org/officeDocument/2006/relationships/hyperlink" Target="https://www.sec.gov/Archives/edgar/data/1855467/000110465923129265/tm2333677d1_ex10-2.htm" TargetMode="External"/><Relationship Id="rId230" Type="http://schemas.openxmlformats.org/officeDocument/2006/relationships/hyperlink" Target="https://www.sec.gov/Archives/edgar/data/1855467/000110465923129265/tm2333677d1_ex10-4.htm" TargetMode="External"/><Relationship Id="rId231" Type="http://schemas.openxmlformats.org/officeDocument/2006/relationships/hyperlink" Target="https://www.sec.gov/Archives/edgar/data/1855467/000110465923129265/tm2333677d1_ex10-5.htm" TargetMode="External"/><Relationship Id="rId232" Type="http://schemas.openxmlformats.org/officeDocument/2006/relationships/hyperlink" Target="https://www.sec.gov/Archives/edgar/data/1855467/000110465923129265/tm2333677d1_ex10-6.htm" TargetMode="External"/><Relationship Id="rId234" Type="http://schemas.openxmlformats.org/officeDocument/2006/relationships/hyperlink" Target="https://www.sec.gov/Archives/edgar/data/1855467/000101376224000772/ea020989801ex10-1_mobix.htm" TargetMode="External"/><Relationship Id="rId235" Type="http://schemas.openxmlformats.org/officeDocument/2006/relationships/hyperlink" Target="https://www.sec.gov/Archives/edgar/data/1855467/000101376224000772/ea020989801ex10-2_mobix.htm" TargetMode="External"/><Relationship Id="rId236" Type="http://schemas.openxmlformats.org/officeDocument/2006/relationships/hyperlink" Target="https://www.sec.gov/Archives/edgar/data/1855467/000101376224000772/ea020989801ex10-3_mobix.htm" TargetMode="External"/><Relationship Id="rId237" Type="http://schemas.openxmlformats.org/officeDocument/2006/relationships/hyperlink" Target="https://www.sec.gov/Archives/edgar/data/1855467/000164117225002885/ex10-1.htm" TargetMode="External"/><Relationship Id="rId238" Type="http://schemas.openxmlformats.org/officeDocument/2006/relationships/hyperlink" Target="https://www.sec.gov/Archives/edgar/data/1855467/000164117225002885/ex10-2.htm" TargetMode="External"/><Relationship Id="rId239" Type="http://schemas.openxmlformats.org/officeDocument/2006/relationships/hyperlink" Target="https://www.sec.gov/Archives/edgar/data/1855467/000164117225010986/ex10-1.htm" TargetMode="External"/><Relationship Id="rId240" Type="http://schemas.openxmlformats.org/officeDocument/2006/relationships/hyperlink" Target="https://www.sec.gov/Archives/edgar/data/1855467/000164117225010986/ex10-2.htm" TargetMode="External"/><Relationship Id="rId241" Type="http://schemas.openxmlformats.org/officeDocument/2006/relationships/hyperlink" Target="https://www.sec.gov/Archives/edgar/data/1855467/000164117225000999/ex99-3.htm" TargetMode="External"/><Relationship Id="rId242" Type="http://schemas.openxmlformats.org/officeDocument/2006/relationships/hyperlink" Target="https://www.sec.gov/Archives/edgar/data/1855467/000164117225000999/ex99-4.htm" TargetMode="External"/><Relationship Id="rId243" Type="http://schemas.openxmlformats.org/officeDocument/2006/relationships/hyperlink" Target="https://www.sec.gov/Archives/edgar/data/1855467/000164117225000999/ex99-5.htm" TargetMode="External"/><Relationship Id="rId244" Type="http://schemas.openxmlformats.org/officeDocument/2006/relationships/hyperlink" Target="https://www.sec.gov/Archives/edgar/data/1855467/000164117225010986/ex10-7.htm" TargetMode="External"/><Relationship Id="rId245" Type="http://schemas.openxmlformats.org/officeDocument/2006/relationships/hyperlink" Target="https://www.sec.gov/Archives/edgar/data/1855467/000149315225017858/ex10-48.htm" TargetMode="External"/><Relationship Id="rId247" Type="http://schemas.openxmlformats.org/officeDocument/2006/relationships/hyperlink" Target="https://www.sec.gov/Archives/edgar/data/1855467/000149315225017858/ex10-49.htm" TargetMode="External"/><Relationship Id="rId248" Type="http://schemas.openxmlformats.org/officeDocument/2006/relationships/hyperlink" Target="https://www.sec.gov/Archives/edgar/data/1855467/000149315225017858/ex10-50.htm" TargetMode="External"/><Relationship Id="rId249" Type="http://schemas.openxmlformats.org/officeDocument/2006/relationships/hyperlink" Target="https://www.sec.gov/Archives/edgar/data/1855467/000149315225017858/ex10-51.htm" TargetMode="External"/><Relationship Id="rId250" Type="http://schemas.openxmlformats.org/officeDocument/2006/relationships/hyperlink" Target="https://www.sec.gov/Archives/edgar/data/1855467/000149315225017858/ex10-52.htm" TargetMode="External"/><Relationship Id="rId251" Type="http://schemas.openxmlformats.org/officeDocument/2006/relationships/hyperlink" Target="https://www.sec.gov/Archives/edgar/data/1855467/000149315225017858/ex10-53.htm" TargetMode="External"/><Relationship Id="rId252" Type="http://schemas.openxmlformats.org/officeDocument/2006/relationships/hyperlink" Target="https://www.sec.gov/Archives/edgar/data/1855467/000149315226000731/ex10-1.htm" TargetMode="External"/><Relationship Id="rId253" Type="http://schemas.openxmlformats.org/officeDocument/2006/relationships/hyperlink" Target="https://www.sec.gov/Archives/edgar/data/1855467/000149315226000731/ex10-2.htm" TargetMode="External"/><Relationship Id="rId254" Type="http://schemas.openxmlformats.org/officeDocument/2006/relationships/hyperlink" Target="https://www.sec.gov/Archives/edgar/data/1855467/000149315226000731/ex10-3.htm" TargetMode="External"/><Relationship Id="rId255" Type="http://schemas.openxmlformats.org/officeDocument/2006/relationships/hyperlink" Target="https://www.sec.gov/Archives/edgar/data/1855467/000149315226019180/ex10-57.htm" TargetMode="External"/><Relationship Id="rId256" Type="http://schemas.openxmlformats.org/officeDocument/2006/relationships/hyperlink" Target="https://www.sec.gov/Archives/edgar/data/1855467/000149315226019180/ex10-58.htm" TargetMode="External"/><Relationship Id="rId257" Type="http://schemas.openxmlformats.org/officeDocument/2006/relationships/hyperlink" Target="https://www.sec.gov/Archives/edgar/data/1855467/000149315226024661/ex10-3.htm" TargetMode="External"/><Relationship Id="rId258" Type="http://schemas.openxmlformats.org/officeDocument/2006/relationships/hyperlink" Target="https://www.sec.gov/Archives/edgar/data/1855467/000149315226024661/ex10-4.htm" TargetMode="External"/><Relationship Id="rId259" Type="http://schemas.openxmlformats.org/officeDocument/2006/relationships/hyperlink" Target="https://www.sec.gov/Archives/edgar/data/1855467/000149315226024661/ex10-5.htm" TargetMode="External"/><Relationship Id="rId260" Type="http://schemas.openxmlformats.org/officeDocument/2006/relationships/hyperlink" Target="https://www.sec.gov/Archives/edgar/data/1855467/000149315226029436/ex10-62.htm" TargetMode="External"/><Relationship Id="rId261" Type="http://schemas.openxmlformats.org/officeDocument/2006/relationships/hyperlink" Target="https://www.sec.gov/Archives/edgar/data/1855467/000149315226030338/ex10-1.htm" TargetMode="External"/><Relationship Id="rId262" Type="http://schemas.openxmlformats.org/officeDocument/2006/relationships/hyperlink" Target="https://www.sec.gov/Archives/edgar/data/1855467/000149315226038848/ex10-7.htm" TargetMode="External"/><Relationship Id="rId263" Type="http://schemas.openxmlformats.org/officeDocument/2006/relationships/hyperlink" Target="https://www.sec.gov/Archives/edgar/data/1855467/000149315226040658/ex10-5.htm" TargetMode="External"/><Relationship Id="rId264" Type="http://schemas.openxmlformats.org/officeDocument/2006/relationships/hyperlink" Target="https://www.sec.gov/Archives/edgar/data/1855467/000149315226040658/ex10-4.htm" TargetMode="External"/><Relationship Id="rId265" Type="http://schemas.openxmlformats.org/officeDocument/2006/relationships/hyperlink" Target="https://www.sec.gov/Archives/edgar/data/1855467/000149315226040658/ex10-2.htm" TargetMode="External"/><Relationship Id="rId266" Type="http://schemas.openxmlformats.org/officeDocument/2006/relationships/hyperlink" Target="https://www.sec.gov/Archives/edgar/data/1855467/000149315226040658/ex10-1.htm" TargetMode="External"/><Relationship Id="rId267" Type="http://schemas.openxmlformats.org/officeDocument/2006/relationships/hyperlink" Target="https://www.sec.gov/Archives/edgar/data/1855467/000149315226040658/ex10-3.htm" TargetMode="External"/><Relationship Id="rId268" Type="http://schemas.openxmlformats.org/officeDocument/2006/relationships/hyperlink" Target="https://www.sec.gov/Archives/edgar/data/1855467/000149315226001921/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2026-10-30T16:41:47Z</dcterms:created>
  <dcterms:modified xsi:type="dcterms:W3CDTF">2026-10-30T16:41:47Z</dcterms:modified>
</cp:coreProperties>
</file>