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333-290247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2,412,711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March 12, 2026 (as supplemented to date, the “Prospectus”) of Mobix Labs, Inc. a Delaware corporation (the “Company”), which forms a part of the Company’s Registration Statement on Form S-1, as amended (No. 333-290247). This prospectus supplement is being filed to update and supplement the information included or incorporated by reference in the Prospectus with the information contained in the Current Reports on Form 8-K filed with the Securities and Exchange Commission (the “SEC”) on August 28, 2026 and October 2, 2026, as set forth below. This prospectus supplement should be read in conjunction with the Prospectus, which is to be delivered with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Class A Common Stock are listed on the Nasdaq Stock Market LLC (“Nasdaq”) under the symbol “MOBX”. On October 1, 2026, the closing price of our Class A Common Stock was $0.817.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5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6 is October 2,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 Irvine, 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Mobix Labs,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held a Special Meeting of Stockholders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to vote on four proposals, as described in the definitive proxy statement filed by the Company with the SEC on September 14, 2026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Present at the Meeting were holders of 9,416,734 shares of Class A Common Stock of the Company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represented in person or by proxy, representing approximately 52.45% of the voting power of the Class A Common Stock as of September 8, 2026, the record date for the Meeting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and constituting a quorum for the transaction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Company’s stockholders voted on the following proposals, each of which is described in more detail in the Proxy Statement. Capitalized terms used but not defined herein have the meanings assigned to such terms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final voting results for all the proposals 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1: The Reverse Split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Split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2835" w:type="dxa"/>
        <w:jc w:val="left"/>
        <w:tblInd w:w="0" w:type="dxa"/>
        <w:tblLayout w:type="fixed"/>
        <w:tblCellMar>
          <w:top w:w="0" w:type="dxa"/>
          <w:left w:w="0" w:type="dxa"/>
          <w:bottom w:w="28" w:type="dxa"/>
          <w:right w:w="0" w:type="dxa"/>
        </w:tblCellMar>
      </w:tblPr>
      <w:tblGrid>
        <w:gridCol w:w="860"/>
        <w:gridCol w:w="60"/>
        <w:gridCol w:w="845"/>
        <w:gridCol w:w="60"/>
        <w:gridCol w:w="101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7,680,758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2: The 2023 Equity Incentive Plan Amendment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Amendment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385" w:type="dxa"/>
        <w:jc w:val="left"/>
        <w:tblInd w:w="0" w:type="dxa"/>
        <w:tblLayout w:type="fixed"/>
        <w:tblCellMar>
          <w:top w:w="0" w:type="dxa"/>
          <w:left w:w="0" w:type="dxa"/>
          <w:bottom w:w="28" w:type="dxa"/>
          <w:right w:w="0" w:type="dxa"/>
        </w:tblCellMar>
      </w:tblPr>
      <w:tblGrid>
        <w:gridCol w:w="860"/>
        <w:gridCol w:w="60"/>
        <w:gridCol w:w="84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2,747,842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1,475,554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3: The Kips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Kips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3,636,132</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626,788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7" w:right="0" w:hanging="1987"/>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Proposal No. 4: The Leviston Issuance Proposal</w:t>
      </w:r>
    </w:p>
    <w:p>
      <w:pPr>
        <w:pStyle w:val="TextBody"/>
        <w:bidi w:val="0"/>
        <w:spacing w:before="0" w:after="0"/>
        <w:ind w:left="1987" w:right="0" w:hanging="198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Leviston Issuance Proposal was approved. The voting results were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28" w:type="dxa"/>
          <w:right w:w="0" w:type="dxa"/>
        </w:tblCellMar>
      </w:tblPr>
      <w:tblGrid>
        <w:gridCol w:w="860"/>
        <w:gridCol w:w="60"/>
        <w:gridCol w:w="695"/>
        <w:gridCol w:w="60"/>
        <w:gridCol w:w="995"/>
        <w:gridCol w:w="60"/>
        <w:gridCol w:w="150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3,587,818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676,498</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5,122,893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918</Words>
  <Characters>4955</Characters>
  <CharactersWithSpaces>5882</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