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333-296928</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22,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3</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Up to 3,744,161 SHARES OF CLASS A COMMON STOCK</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July 17, 2026 (as supplemented to date, the “Prospectus”) of Mobix Labs, Inc. a Delaware corporation (the “Company”), which forms a part of the Company’s Registration Statement on Form S-1, as amended (No. 333-296928). This prospectus supplement is being filed to update and supplement the information included or incorporated by reference in the Prospectus with the information contained in the Current Report on Form 8-K filed with the Securities and Exchange Commission (the “SEC”) on October 19, 2026, as set forth below. This prospectus supplement should be read in conjunction with the Prospectus, which is to be delivered with this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our Class A Common Stock are listed on the Nasdaq Stock Market LLC (“Nasdaq”) under the symbol “MOBX”. On October 21, 2026, the closing price of our Class A Common Stock was $0.72.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4 of the Prospectus and under similar headings in any amendments or supplements to the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3 is October 22,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Mobix Labs, Inc. (the “Company”) delivered written notice to Vision Aerial, Inc. (“Vision Aerial”) terminating the Agreement and Plan of Merger, dated July 24, 2026 (the “Merger Agreement”), pursuant to Section 8.1(c) thereof, following the expiration of the contractual termination date. The Merger Agreement was previously disclosed in the Company’s Current Report on Form 8-K filed on 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followed delays in completing certain due diligence and financial reporting matters, including the receipt of financial and accounting information necessary to complete the audit process. The transaction was not consummated within the contemplated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amicable, and the Company maintains a positive relationship with Vision Aerial and remains open to exploring potential opportunities with Vision Aerial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778</Words>
  <Characters>4294</Characters>
  <CharactersWithSpaces>5079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