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spacing w:before="0" w:after="0"/>
        <w:ind w:left="0" w:right="0" w:firstLine="36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 and Rule 424(c)</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333-290247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6700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67000" cy="3429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Up to 2,412,711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amends the prospectus dated March 12, 2026 (as supplemented to date, the “Prospectus”) of Mobix Labs, Inc. a Delaware corporation (the “Company”), which forms a part of the Company’s Registration Statement on Form S-1, as amended (No. 333-290247). This prospectus supplement is being filed to update and supplement the information included or incorporated by reference in the Prospectus with the information contained in the Current Report on Form 8-K filed with the Securities and Exchange Commission (the “SEC”) on October 19, 2026, as set forth below. This prospectus supplement should be read in conjunction with the Prospectus, which is to be delivered with this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our Class A Common Stock are listed on the Nasdaq Stock Market LLC (“Nasdaq”) under the symbol “MOBX”. On October 21, 2026, the closing price of our Class A Common Stock was $0.72.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Company’s Class A Common Stock involves risks. See “Risk Factors” beginning on page 5 of the Prospectus and under similar headings in any amendments or supplements to the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other regulatory body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No. 7 is October 22,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MOBIX LABS,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001-40621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98-1591717</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Venture, Suite 220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Irvine, California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92618</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(949) 808-8888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5"/>
        <w:gridCol w:w="909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0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637"/>
        <w:gridCol w:w="60"/>
        <w:gridCol w:w="1412"/>
        <w:gridCol w:w="60"/>
        <w:gridCol w:w="3036"/>
      </w:tblGrid>
      <w:tr>
        <w:trPr/>
        <w:tc>
          <w:tcPr>
            <w:tcW w:w="56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63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563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warrants, each warrant exercisable for one share of Class A Common Stock</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1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MOBXW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3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Mobix Labs, Inc. (the “Company”) delivered written notice to Vision Aerial, Inc. (“Vision Aerial”) terminating the Agreement and Plan of Merger, dated July 24, 2026 (the “Merger Agreement”), pursuant to Section 8.1(c) thereof, following the expiration of the contractual termination date. The Merger Agreement was previously disclosed in the Company’s Current Report on Form 8-K filed on 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followed delays in completing certain due diligence and financial reporting matters, including the receipt of financial and accounting information necessary to complete the audit process. The transaction was not consummated within the contemplated timeframe.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termination was amicable, and the Company maintains a positive relationship with Vision Aerial and remains open to exploring potential opportunities with Vision Aerial in the future.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2030"/>
        <w:gridCol w:w="3035"/>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19, 2026</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778</Words>
  <Characters>4295</Characters>
  <CharactersWithSpaces>5079</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