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724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July 24,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MOBIX LABS,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0_edei--EntityFileNumber_c20260724"/>
            <w:bookmarkEnd w:id="6"/>
            <w:r>
              <w:rPr>
                <w:rFonts w:ascii="Times New Roman;Times;Serif" w:hAnsi="Times New Roman;Times;Serif"/>
                <w:b/>
                <w:i w:val="false"/>
                <w:caps w:val="false"/>
                <w:smallCaps w:val="false"/>
                <w:sz w:val="20"/>
              </w:rPr>
              <w:t>001-40621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A_edei--EntityTaxIdentificationNum"/>
            <w:bookmarkEnd w:id="7"/>
            <w:r>
              <w:rPr>
                <w:rFonts w:ascii="Times New Roman;Times;Serif" w:hAnsi="Times New Roman;Times;Serif"/>
                <w:b/>
                <w:i w:val="false"/>
                <w:caps w:val="false"/>
                <w:smallCaps w:val="false"/>
                <w:sz w:val="20"/>
              </w:rPr>
              <w:t>98-1591717</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1 Venture, </w:t>
            </w:r>
            <w:bookmarkStart w:id="9" w:name="xdx_90F_edei--EntityAddressAddressLine2_"/>
            <w:bookmarkEnd w:id="9"/>
            <w:r>
              <w:rPr>
                <w:rFonts w:ascii="Times New Roman;Times;Serif" w:hAnsi="Times New Roman;Times;Serif"/>
                <w:b/>
                <w:i w:val="false"/>
                <w:caps w:val="false"/>
                <w:smallCaps w:val="false"/>
                <w:sz w:val="20"/>
              </w:rPr>
              <w:t>Suite 220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Irvine, </w:t>
            </w:r>
            <w:bookmarkStart w:id="11" w:name="xdx_901_edei--EntityAddressStateOrProvin"/>
            <w:bookmarkEnd w:id="11"/>
            <w:r>
              <w:rPr>
                <w:rFonts w:ascii="Times New Roman;Times;Serif" w:hAnsi="Times New Roman;Times;Serif"/>
                <w:b/>
                <w:i w:val="false"/>
                <w:caps w:val="false"/>
                <w:smallCaps w:val="false"/>
                <w:sz w:val="20"/>
              </w:rPr>
              <w:t>California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5_edei--EntityAddressPostalZipCode"/>
            <w:bookmarkEnd w:id="12"/>
            <w:r>
              <w:rPr>
                <w:rFonts w:ascii="Times New Roman;Times;Serif" w:hAnsi="Times New Roman;Times;Serif"/>
                <w:b/>
                <w:i w:val="false"/>
                <w:caps w:val="false"/>
                <w:smallCaps w:val="false"/>
                <w:sz w:val="20"/>
              </w:rPr>
              <w:t>92618</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1_edei--CityAreaCode_c20260724__20"/>
      <w:bookmarkEnd w:id="13"/>
      <w:r>
        <w:rPr>
          <w:rFonts w:ascii="Times New Roman;Times;Serif" w:hAnsi="Times New Roman;Times;Serif"/>
          <w:b/>
          <w:i w:val="false"/>
          <w:caps w:val="false"/>
          <w:smallCaps w:val="false"/>
          <w:sz w:val="20"/>
        </w:rPr>
        <w:t xml:space="preserve">(949) </w:t>
      </w:r>
      <w:bookmarkStart w:id="14" w:name="xdx_901_edei--LocalPhoneNumber_c20260724"/>
      <w:bookmarkEnd w:id="14"/>
      <w:r>
        <w:rPr>
          <w:rFonts w:ascii="Times New Roman;Times;Serif" w:hAnsi="Times New Roman;Times;Serif"/>
          <w:b/>
          <w:i w:val="false"/>
          <w:caps w:val="false"/>
          <w:smallCaps w:val="false"/>
          <w:sz w:val="20"/>
        </w:rPr>
        <w:t>808-8888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283"/>
              <w:jc w:val="left"/>
              <w:rPr>
                <w:caps w:val="false"/>
                <w:smallCaps w:val="false"/>
              </w:rPr>
            </w:pPr>
            <w:bookmarkStart w:id="15" w:name="xdx_909_edei--WrittenCommunications_c202"/>
            <w:bookmarkEnd w:id="15"/>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9_edei--SolicitingMaterial_c202607"/>
            <w:bookmarkEnd w:id="16"/>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0_edei--PreCommencementTenderOffer"/>
            <w:bookmarkEnd w:id="17"/>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6_edei--PreCommencementIssuerTende"/>
            <w:bookmarkEnd w:id="18"/>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Security12bTitle_c20260724"/>
            <w:bookmarkEnd w:id="19"/>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TradingSymbol_c20260724__2"/>
            <w:bookmarkEnd w:id="20"/>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B_edei--SecurityExchangeName_c2026"/>
            <w:bookmarkEnd w:id="21"/>
            <w:r>
              <w:rPr>
                <w:rFonts w:ascii="Times New Roman;Times;Serif" w:hAnsi="Times New Roman;Times;Serif"/>
                <w:b w:val="false"/>
                <w:i w:val="false"/>
                <w:caps w:val="false"/>
                <w:smallCaps w:val="false"/>
                <w:sz w:val="20"/>
              </w:rPr>
              <w:t>Nasdaq Capital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2_edei--Security12bTitle_c20260724"/>
            <w:bookmarkEnd w:id="22"/>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6_edei--TradingSymbol_c20260724__2"/>
            <w:bookmarkEnd w:id="23"/>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9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3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B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Mobix Labs, Inc. (the “Company”) executed an Agreement and Plan of Merger (the “Merger Agreement”) with Mobix Merger Sub X, Inc., a Delaware corporation and wholly owned subsidiary of the Company (“Merger Sub X”), Mobix Merger Sub XI, LLC, a Delaware limited liability company and wholly owned subsidiary of the Company (“Merger Sub XI”), Vision Aerial, Inc., a Delaware corporation (“Vision Aerial”), and the shareholder representative named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for the acquisition of Vision Aerial by the Company through a series of mergers, pursuant to which Merger Sub X will merge with and into Vision Aerial, with Vision Aerial surviving as a wholly owned subsidiary of the Company, followed immediately by the merger of the surviving corporation with and into Merger Sub XI, with Merger Sub XI surviving the second merger. The parties intend that the mergers (the “Mergers”), taken together, will qualify as a reorganization within the meaning of Section 368(a) of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consideration payable to the shareholders of Vision Aerial will consist of a combination of (i) a number of shares of the Company’s Class A common stock equal to $12 million divided by the Rollover Share Price (as defined below) and (ii) $3,000,000 cash, subject to customary post-closing purchase price adjustments and indemnification holdbacks. The Rollover Share Price is equal to the volume-weighted average price per share of the Class A common stock for the 20 trading days ending on (and including) the third trading day preceding the closing of the Mergers, provided the Rollover Share Price shall not be less than $2.00 nor greater than $3.00 (subject to adjustment for any stock split, stock dividend, recapitalization or similar event). The Merger Agreement contains representations, warranties, covenants, and indemnification provisions customary for a transaction of this type, and the closing of the transaction is subject to customary closing conditions, including the satisfaction of the Company’s due diligence investigation, approval by the stockholders of the Company and of Vison Aerial. The Merger Agreement may be terminated under specified circumstances, including the payment of a termination fee by Vision Aerial in certain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Merger Agreement is expected to be filed as an exhibit hereto by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does not purport to be complete and, upon filing, will be qualified in its entirety by reference to the full text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regarding the Merger Agreement and the issuance of the shares of Class A common stock contemplated thereunder set forth in Item 1.01 of this Current Report on Form 8-K is incorporated into this Item 3.02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comprising the stock consideration to be issued in connection with the Mergers have not been registered under the Securities Act of 1933, as amended (the “Securities Act”), in reliance upon an exemption from registration provided by Section 4(a)(2) of the Securities Act for transactions by an issuer not involving any public offering.</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1730"/>
        <w:gridCol w:w="3035"/>
      </w:tblGrid>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29, 2026</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889</Words>
  <Characters>4809</Characters>
  <CharactersWithSpaces>5700</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