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1002"/>
            <w:bookmarkEnd w:id="6"/>
            <w:r>
              <w:rPr>
                <w:rFonts w:ascii="Times New Roman;Times;Serif" w:hAnsi="Times New Roman;Times;Serif"/>
                <w:b/>
                <w:i w:val="false"/>
                <w:caps w:val="false"/>
                <w:smallCaps w:val="false"/>
                <w:sz w:val="20"/>
              </w:rPr>
              <w:t>001-40621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98-1591717</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 Venture, </w:t>
            </w:r>
            <w:bookmarkStart w:id="9" w:name="xdx_90D_edei--EntityAddressAddressLine2_"/>
            <w:bookmarkEnd w:id="9"/>
            <w:r>
              <w:rPr>
                <w:rFonts w:ascii="Times New Roman;Times;Serif" w:hAnsi="Times New Roman;Times;Serif"/>
                <w:b/>
                <w:i w:val="false"/>
                <w:caps w:val="false"/>
                <w:smallCaps w:val="false"/>
                <w:sz w:val="20"/>
              </w:rPr>
              <w:t xml:space="preserve">Suite 220, </w:t>
            </w:r>
            <w:bookmarkStart w:id="10" w:name="xdx_905_edei--EntityAddressCityOrTown_c2"/>
            <w:bookmarkEnd w:id="10"/>
            <w:r>
              <w:rPr>
                <w:rFonts w:ascii="Times New Roman;Times;Serif" w:hAnsi="Times New Roman;Times;Serif"/>
                <w:b/>
                <w:i w:val="false"/>
                <w:caps w:val="false"/>
                <w:smallCaps w:val="false"/>
                <w:sz w:val="20"/>
              </w:rPr>
              <w:t xml:space="preserve">Irvine, </w:t>
            </w:r>
            <w:bookmarkStart w:id="11" w:name="xdx_909_edei--EntityAddressStateOrProvin"/>
            <w:bookmarkEnd w:id="11"/>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92618</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0_edei--CityAreaCode_c20261002__20"/>
      <w:bookmarkEnd w:id="13"/>
      <w:r>
        <w:rPr>
          <w:rFonts w:ascii="Times New Roman;Times;Serif" w:hAnsi="Times New Roman;Times;Serif"/>
          <w:b/>
          <w:i w:val="false"/>
          <w:caps w:val="false"/>
          <w:smallCaps w:val="false"/>
          <w:sz w:val="20"/>
        </w:rPr>
        <w:t xml:space="preserve">(949) </w:t>
      </w:r>
      <w:bookmarkStart w:id="14" w:name="xdx_901_edei--LocalPhoneNumber_c20261002"/>
      <w:bookmarkEnd w:id="14"/>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SolicitingMaterial_c202610"/>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61002"/>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1002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Nasdaq Global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61002"/>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TradingSymbol_c20261002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8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2026, Mobix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held a Special Meeting of Stockholders (the “</w:t>
      </w:r>
      <w:r>
        <w:rPr>
          <w:rFonts w:ascii="Times New Roman;Times;Serif" w:hAnsi="Times New Roman;Times;Serif"/>
          <w:b w:val="false"/>
          <w:i w:val="false"/>
          <w:caps w:val="false"/>
          <w:smallCaps w:val="false"/>
          <w:sz w:val="20"/>
          <w:u w:val="single"/>
        </w:rPr>
        <w:t>Meeting</w:t>
      </w:r>
      <w:r>
        <w:rPr>
          <w:rFonts w:ascii="Times New Roman;Times;Serif" w:hAnsi="Times New Roman;Times;Serif"/>
          <w:b w:val="false"/>
          <w:i w:val="false"/>
          <w:caps w:val="false"/>
          <w:smallCaps w:val="false"/>
          <w:sz w:val="20"/>
        </w:rPr>
        <w:t>”) to vote on four proposals, as described in the definitive proxy statement filed by the Company with the SEC on September 14, 2026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Present at the Meeting were holders of 9,416,734 shares of Class A Common Stock of the Company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represented in person or by proxy, representing approximately 52.45% of the voting power of the Class A Common Stock as of September 8, 2026, the record date for the Meeting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and constituting a quorum for the transaction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stockholders voted on the following proposals, each of which is described in more detail in the Proxy Statement. Capitalized terms used but not defined herein have the meanings assigned to such terms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final voting results for all the proposals 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1: The Reverse Split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2835" w:type="dxa"/>
        <w:jc w:val="left"/>
        <w:tblInd w:w="0" w:type="dxa"/>
        <w:tblLayout w:type="fixed"/>
        <w:tblCellMar>
          <w:top w:w="0" w:type="dxa"/>
          <w:left w:w="0" w:type="dxa"/>
          <w:bottom w:w="28" w:type="dxa"/>
          <w:right w:w="0" w:type="dxa"/>
        </w:tblCellMar>
      </w:tblPr>
      <w:tblGrid>
        <w:gridCol w:w="860"/>
        <w:gridCol w:w="60"/>
        <w:gridCol w:w="845"/>
        <w:gridCol w:w="60"/>
        <w:gridCol w:w="101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7,680,758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2: The 2023 Equity Incentive Plan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385" w:type="dxa"/>
        <w:jc w:val="left"/>
        <w:tblInd w:w="0" w:type="dxa"/>
        <w:tblLayout w:type="fixed"/>
        <w:tblCellMar>
          <w:top w:w="0" w:type="dxa"/>
          <w:left w:w="0" w:type="dxa"/>
          <w:bottom w:w="28" w:type="dxa"/>
          <w:right w:w="0" w:type="dxa"/>
        </w:tblCellMar>
      </w:tblPr>
      <w:tblGrid>
        <w:gridCol w:w="860"/>
        <w:gridCol w:w="60"/>
        <w:gridCol w:w="84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2,747,842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3: The Kips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Kips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3,636,132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626,788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4: The Leviston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Leviston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3,587,818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676,498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3612</Characters>
  <CharactersWithSpaces>4280</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