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333-290247</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18,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5</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Up to 2,412,711 SHARES OF CLASS A COMMON STOCK</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March 12, 2026 (as supplemented to date, the “Prospectus”) of Mobix Labs, Inc. a Delaware corporation (the “Company”), which forms a part of the Company’s Registration Statement on Form S-1, as amended (No. 333-290247). This prospectus supplement is being filed to update and supplement the information included or incorporated by reference in the Prospectus with the information contained in the Current Report on Form 8-K filed with the Securities and Exchange Commission (the “SEC”) on July 29, 2026 and the Quarterly Report on Form 10-Q filed with the SEC on August 18, 2026, as set forth below. This prospectus supplement should be read in conjunction with the Prospectus, which is to be delivered with this prospectus supplement.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August 17, 2026, the closing price of our Class A Common Stock was $1.26.</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5 of the Prospectus and under similar headings in any amendments or supplements to the Prospectus.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5 is August 18, 2026</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July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Mobix Labs, Inc. (the “Company”) executed an Agreement and Plan of Merger (the “Merger Agreement”) with Mobix Merger Sub X, Inc., a Delaware corporation and wholly owned subsidiary of the Company (“Merger Sub X”), Mobix Merger Sub XI, LLC, a Delaware limited liability company and wholly owned subsidiary of the Company (“Merger Sub XI”), Vision Aerial, Inc., a Delaware corporation (“Vision Aerial”), and the shareholder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Vision Aerial by the Company through a series of mergers, pursuant to which Merger Sub X will merge with and into Vision Aerial, with Vision Aerial surviving as a wholly owned subsidiary of the Company, followed immediately by the merger of the surviving corporation with and into Merger Sub XI, with Merger Sub XI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consideration payable to the shareholders of Vision Aerial will consist of a combination of (i) a number of shares of the Company’s Class A common stock equal to $12 million divided by the Rollover Share Price (as defined below) and (ii) $3,000,000 cash, subject to customary post-closing purchase price adjustments and indemnification holdbacks. The Rollover Share Price is equal to the volume-weighted average price per share of the Class A common stock for the 20 trading days ending on (and including) the third trading day preceding the closing of the Mergers, provided the Rollover Share Price shall not be less than $2.00 nor greater than $3.00 (subject to adjustment for any stock split, stock dividend, recapitalization or similar event). 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Vison Aerial. The Merger Agreement may be terminated under specified circumstances, including the payment of a termination fee by Vision Aerial in certain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expected to be filed as an exhibit hereto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upon filing, will be qualified in its entirety by reference to the full text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Merger Agreement and the issuance of the shares of Class A common stock contemplated thereunder set forth in Item 1.01 of this Current Report on Form 8-K is incorporated into this Item 3.02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comprising the stock consideration to be issued in connection with the Mergers have not been registered under the Securities Act of 1933, as amended (the “Securities Act”), in reliance upon an exemption from registration provided by Section 4(a)(2) of the Securities Act for transactions by an issuer not involving any public offering.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730"/>
        <w:gridCol w:w="303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 to 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001-40621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California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808-8888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Capital Market </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Capital Market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Class A Common Stock and Class B Common Stock outstanding as of August 13, 2026 was 16,774,387 and 200,491, respectively.</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i w:val="false"/>
                  <w:caps w:val="false"/>
                  <w:smallCaps w:val="false"/>
                  <w:sz w:val="20"/>
                </w:rPr>
                <w:t>PART II.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it3_001">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it3_002">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p_012">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for Mobix Labs, Inc. (the “Company”, “we”, “us” or “our”) contains “forward-looking statements,” as defined in Section 27A of the Securities Act of 1933, as amended (the “Securities Act”), and Section 21E of the Securities Exchange Act of 1934, as amended (the “Exchange Act”). Forward-looking statements are statements other than historical information or statements of current condition and relate to future events or our future financial performance.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In this Quarterly Report on Form 10-Q, forward-looking statements include, but are not limited to, any statements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pending acquisitions of Vision Aerial, Inc. and Special Project Delivery, Inc. in the expected time frames or at all, and to finance those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whether the assets and focus areas we have prioritized in furtherance of the National Security Matters (“NSM”) Initiative advance U.S. national security, reduce foreign dependency in critical supply chains, respond to announced federal supply-chain, stockpile and defense initiatives, and position us to help strengthen America’s defense industrial base and supply-chain resilience;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assumptions underlying our critical accounting estimates;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Quarterly Report on Form 10-Q,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Nasdaq listing requirements, including the $1.00 minimum bid price requirement and the minimum $35 million market value of listed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conversions of the Series A 10% Convertible Preferred Stock and the Additional Notes, the conversion price of which floats with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the risk that we will be unable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sufficient income from operations to sustain ourselves;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including Vision Aerial, Inc. and Special Project Delivery, Inc. on the expected time frames or at all,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caused by ongoing conflict in the Middle East and the implementation of tariffs in the United States as well as any impact that either may have on laws and regulations, changes in the competitive industries in which we operate, variations in performance across competitors, the global supply chain, and macro-economic and social environments affecting our business and changes in our capital structure.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the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herein and in our Annual Report on Form 10-K for our fiscal year ended September 30, 2025 and our Quarterly Report on Form 10-Q for the quarter ended March 31, 2026, filed with the Securities and Exchange Commission on January 13, 2026 and May 20, 2026, respectively.</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05"/>
        <w:gridCol w:w="60"/>
        <w:gridCol w:w="140"/>
      </w:tblGrid>
      <w:tr>
        <w:trPr/>
        <w:tc>
          <w:tcPr>
            <w:tcW w:w="10005"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June 30, 2026 and September 30,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05" w:type="dxa"/>
            <w:tcBorders/>
            <w:shd w:fill="FFFF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0005"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Preferred Stock and Stockholders’ Equity (Deficit) for the three months and nine months ended June 30,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005" w:type="dxa"/>
            <w:tcBorders/>
            <w:shd w:fill="FFFF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005"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9"/>
        <w:gridCol w:w="60"/>
        <w:gridCol w:w="154"/>
        <w:gridCol w:w="967"/>
        <w:gridCol w:w="95"/>
        <w:gridCol w:w="60"/>
        <w:gridCol w:w="186"/>
        <w:gridCol w:w="1171"/>
        <w:gridCol w:w="113"/>
      </w:tblGrid>
      <w:tr>
        <w:trPr/>
        <w:tc>
          <w:tcPr>
            <w:tcW w:w="7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3,273</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1,414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1,435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13,519</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16,066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34,934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7" w:type="dxa"/>
            <w:tcBorders/>
            <w:shd w:fill="FFFFFF" w:val="clear"/>
            <w:vAlign w:val="center"/>
          </w:tcPr>
          <w:p>
            <w:pPr>
              <w:pStyle w:val="TableContents"/>
              <w:bidi w:val="0"/>
              <w:spacing w:before="0" w:after="283"/>
              <w:jc w:val="right"/>
              <w:rPr/>
            </w:pPr>
            <w:r>
              <w:rPr/>
              <w:t>5,032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8,981</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11,122</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2,323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3,934</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measured at fair value,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27,786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1,099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1,240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321</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96</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6,859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37,449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Preferred Stock, $0.00001 par value, of which 20,000 shares have been designated as Series A 10% Convertible Preferred Stock; 2,000 and no shares issued and outstanding at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Class A Common Stock, $0.00001 par value, 285,000,000 shares authorized; 15,001,187 and 5,883,842 shares issued and outstanding at June 30,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Class B Common Stock, $0.00001 par value, 5,000,000 shares authorized; 200,491 shares issued and outstanding at June 30,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189,609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150,252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(183,361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3" w:type="dxa"/>
            <w:tcBorders/>
            <w:shd w:fill="CCEEFF" w:val="clear"/>
            <w:vAlign w:val="center"/>
          </w:tcPr>
          <w:p>
            <w:pPr>
              <w:pStyle w:val="TableContents"/>
              <w:bidi w:val="0"/>
              <w:spacing w:before="0" w:after="283"/>
              <w:jc w:val="left"/>
              <w:rPr/>
            </w:pPr>
            <w:r>
              <w:rPr/>
              <w:t>)</w:t>
            </w:r>
          </w:p>
        </w:tc>
      </w:tr>
      <w:tr>
        <w:trPr/>
        <w:tc>
          <w:tcPr>
            <w:tcW w:w="739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w:t>
            </w:r>
          </w:p>
        </w:tc>
      </w:tr>
      <w:tr>
        <w:trPr/>
        <w:tc>
          <w:tcPr>
            <w:tcW w:w="7399" w:type="dxa"/>
            <w:tcBorders/>
            <w:shd w:fill="CCEEFF" w:val="clear"/>
            <w:vAlign w:val="center"/>
          </w:tcPr>
          <w:p>
            <w:pPr>
              <w:pStyle w:val="TableContents"/>
              <w:bidi w:val="0"/>
              <w:spacing w:before="0" w:after="283"/>
              <w:jc w:val="left"/>
              <w:rPr/>
            </w:pPr>
            <w:r>
              <w:rPr/>
              <w:t>Total liabilities,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34,934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4,911</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3,119</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4,056</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1,816</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32,043</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(30,528</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Financing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extinguishment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(30,411</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(30,402</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(7.16</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(7.16</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4,247,441</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12,640,059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9,683,935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4,247,441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CONDENSED CONSOLIDATED STATEMENTS OF PREFERRED STOCK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0"/>
        <w:gridCol w:w="60"/>
        <w:gridCol w:w="61"/>
        <w:gridCol w:w="439"/>
        <w:gridCol w:w="60"/>
        <w:gridCol w:w="60"/>
        <w:gridCol w:w="124"/>
        <w:gridCol w:w="481"/>
        <w:gridCol w:w="60"/>
        <w:gridCol w:w="60"/>
        <w:gridCol w:w="60"/>
        <w:gridCol w:w="830"/>
        <w:gridCol w:w="60"/>
        <w:gridCol w:w="60"/>
        <w:gridCol w:w="110"/>
        <w:gridCol w:w="500"/>
        <w:gridCol w:w="60"/>
        <w:gridCol w:w="60"/>
        <w:gridCol w:w="60"/>
        <w:gridCol w:w="605"/>
        <w:gridCol w:w="60"/>
        <w:gridCol w:w="60"/>
        <w:gridCol w:w="110"/>
        <w:gridCol w:w="500"/>
        <w:gridCol w:w="60"/>
        <w:gridCol w:w="60"/>
        <w:gridCol w:w="120"/>
        <w:gridCol w:w="665"/>
        <w:gridCol w:w="60"/>
        <w:gridCol w:w="60"/>
        <w:gridCol w:w="136"/>
        <w:gridCol w:w="829"/>
        <w:gridCol w:w="80"/>
        <w:gridCol w:w="60"/>
        <w:gridCol w:w="110"/>
        <w:gridCol w:w="1130"/>
        <w:gridCol w:w="95"/>
      </w:tblGrid>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6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in consideration for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6,665,325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165,380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(160,713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10,355,525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175,411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(166,566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amendment of 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464,952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3,976,792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extension shares in consideration for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15,001,187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0"/>
        <w:gridCol w:w="60"/>
        <w:gridCol w:w="78"/>
        <w:gridCol w:w="422"/>
        <w:gridCol w:w="62"/>
        <w:gridCol w:w="62"/>
        <w:gridCol w:w="123"/>
        <w:gridCol w:w="485"/>
        <w:gridCol w:w="60"/>
        <w:gridCol w:w="60"/>
        <w:gridCol w:w="60"/>
        <w:gridCol w:w="740"/>
        <w:gridCol w:w="60"/>
        <w:gridCol w:w="60"/>
        <w:gridCol w:w="121"/>
        <w:gridCol w:w="484"/>
        <w:gridCol w:w="60"/>
        <w:gridCol w:w="60"/>
        <w:gridCol w:w="60"/>
        <w:gridCol w:w="605"/>
        <w:gridCol w:w="80"/>
        <w:gridCol w:w="60"/>
        <w:gridCol w:w="121"/>
        <w:gridCol w:w="484"/>
        <w:gridCol w:w="60"/>
        <w:gridCol w:w="60"/>
        <w:gridCol w:w="120"/>
        <w:gridCol w:w="665"/>
        <w:gridCol w:w="60"/>
        <w:gridCol w:w="60"/>
        <w:gridCol w:w="136"/>
        <w:gridCol w:w="829"/>
        <w:gridCol w:w="80"/>
        <w:gridCol w:w="60"/>
        <w:gridCol w:w="133"/>
        <w:gridCol w:w="877"/>
        <w:gridCol w:w="98"/>
      </w:tblGrid>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A</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B</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Paid-in</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Stockholder’s</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8"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212,990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5,530</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Common Stock to Class A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notes payable to Class A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(124,296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(3,039</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for amendment of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(126,587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and warrants in private placement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for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restricted stock awards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4,874,763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(134,859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425</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9582" w:type="dxa"/>
        <w:jc w:val="left"/>
        <w:tblInd w:w="0" w:type="dxa"/>
        <w:tblLayout w:type="fixed"/>
        <w:tblCellMar>
          <w:top w:w="0" w:type="dxa"/>
          <w:left w:w="0" w:type="dxa"/>
          <w:bottom w:w="0" w:type="dxa"/>
          <w:right w:w="0" w:type="dxa"/>
        </w:tblCellMar>
      </w:tblPr>
      <w:tblGrid>
        <w:gridCol w:w="7055"/>
        <w:gridCol w:w="60"/>
        <w:gridCol w:w="169"/>
        <w:gridCol w:w="916"/>
        <w:gridCol w:w="115"/>
        <w:gridCol w:w="72"/>
        <w:gridCol w:w="169"/>
        <w:gridCol w:w="916"/>
        <w:gridCol w:w="110"/>
      </w:tblGrid>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(32,773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(30,402</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1,195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1,285</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Issuance of warrants to placement agent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280</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Issuance of common stock for amendment of RaGE earnout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(960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320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Loss on extinguishment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4,218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3,707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Noncash 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514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Noncash financing costs expensed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443</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9,941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20,256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(508</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479</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(1,100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(2,835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(14,719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sale of common stock and warrants in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3,645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preferred shares and liability-classified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1,975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5,360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8,649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(2,842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(854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13,597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5,563</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1,706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10,561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$22,278 for the nine months ended June 30, 2026 and incurred losses from operations of $37,693 and $46,395 for the years ended September 30, 2025 and 2024, respectively. Additionally, the Company had negative cash flows from operations of $14,719 for the nine months ended June 30, 2026 and negative cash flows from operations of $10,113 and $18,388 for the years ended September 30, 2025 and 2024, respectively. As of June 30, 2026, the Company had cash on hand of $2,142 and an accumulated deficit of $183,361.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liability-classified warrants, bifurcated derivatives, and certain debt instruments;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$725 for the three months and nine months ended June 30, 2025. See Note 8,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517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403"/>
        <w:gridCol w:w="1612"/>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645"/>
        <w:gridCol w:w="60"/>
        <w:gridCol w:w="4144"/>
        <w:gridCol w:w="60"/>
        <w:gridCol w:w="247"/>
        <w:gridCol w:w="990"/>
        <w:gridCol w:w="95"/>
        <w:gridCol w:w="60"/>
        <w:gridCol w:w="358"/>
        <w:gridCol w:w="1433"/>
        <w:gridCol w:w="113"/>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2026 and 2025 was $42 and $60, respectively. Depreciation expense for the nine months ended June 30, 2026 and 2025 was $129 and $306,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an impairment loss of $725 on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w:t>
      </w:r>
    </w:p>
    <w:tbl>
      <w:tblPr>
        <w:tblW w:w="10205" w:type="dxa"/>
        <w:jc w:val="left"/>
        <w:tblInd w:w="0" w:type="dxa"/>
        <w:tblLayout w:type="fixed"/>
        <w:tblCellMar>
          <w:top w:w="0" w:type="dxa"/>
          <w:left w:w="0" w:type="dxa"/>
          <w:bottom w:w="0" w:type="dxa"/>
          <w:right w:w="0" w:type="dxa"/>
        </w:tblCellMar>
      </w:tblPr>
      <w:tblGrid>
        <w:gridCol w:w="2190"/>
        <w:gridCol w:w="60"/>
        <w:gridCol w:w="1130"/>
        <w:gridCol w:w="60"/>
        <w:gridCol w:w="140"/>
        <w:gridCol w:w="680"/>
        <w:gridCol w:w="60"/>
        <w:gridCol w:w="60"/>
        <w:gridCol w:w="247"/>
        <w:gridCol w:w="1123"/>
        <w:gridCol w:w="95"/>
        <w:gridCol w:w="60"/>
        <w:gridCol w:w="140"/>
        <w:gridCol w:w="680"/>
        <w:gridCol w:w="60"/>
        <w:gridCol w:w="60"/>
        <w:gridCol w:w="140"/>
        <w:gridCol w:w="680"/>
        <w:gridCol w:w="60"/>
        <w:gridCol w:w="60"/>
        <w:gridCol w:w="247"/>
        <w:gridCol w:w="1123"/>
        <w:gridCol w:w="95"/>
        <w:gridCol w:w="60"/>
        <w:gridCol w:w="140"/>
        <w:gridCol w:w="680"/>
        <w:gridCol w:w="75"/>
      </w:tblGrid>
      <w:tr>
        <w:trPr/>
        <w:tc>
          <w:tcPr>
            <w:tcW w:w="2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 –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 – 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(5,564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June 30, 2026 and 2025 was $395 and $407, respectively. Amortization expense related to intangible assets for the nine months ended June 30, 2026 and 2025 was $1,195 and $1,285, respectively. The weighted-average remaining lives of intangible assets as of June 30, 2026 were developed technology 4.2 years; customer relationships 10.9 years; and trade names 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June 30,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w:t>
      </w:r>
    </w:p>
    <w:tbl>
      <w:tblPr>
        <w:tblW w:w="3900" w:type="dxa"/>
        <w:jc w:val="left"/>
        <w:tblInd w:w="0" w:type="dxa"/>
        <w:tblLayout w:type="fixed"/>
        <w:tblCellMar>
          <w:top w:w="0" w:type="dxa"/>
          <w:left w:w="0" w:type="dxa"/>
          <w:bottom w:w="28" w:type="dxa"/>
          <w:right w:w="0" w:type="dxa"/>
        </w:tblCellMar>
      </w:tblPr>
      <w:tblGrid>
        <w:gridCol w:w="2945"/>
        <w:gridCol w:w="60"/>
        <w:gridCol w:w="140"/>
        <w:gridCol w:w="680"/>
        <w:gridCol w:w="75"/>
      </w:tblGrid>
      <w:tr>
        <w:trPr/>
        <w:tc>
          <w:tcPr>
            <w:tcW w:w="2945" w:type="dxa"/>
            <w:tcBorders>
              <w:bottom w:val="single" w:sz="8" w:space="0" w:color="000000"/>
            </w:tcBorders>
            <w:vAlign w:val="center"/>
          </w:tcPr>
          <w:p>
            <w:pPr>
              <w:pStyle w:val="TableContents"/>
              <w:bidi w:val="0"/>
              <w:spacing w:before="0" w:after="283"/>
              <w:jc w:val="both"/>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2026 (remaining three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12,324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8489" w:type="dxa"/>
        <w:jc w:val="left"/>
        <w:tblInd w:w="0" w:type="dxa"/>
        <w:tblLayout w:type="fixed"/>
        <w:tblCellMar>
          <w:top w:w="0" w:type="dxa"/>
          <w:left w:w="0" w:type="dxa"/>
          <w:bottom w:w="0" w:type="dxa"/>
          <w:right w:w="0" w:type="dxa"/>
        </w:tblCellMar>
      </w:tblPr>
      <w:tblGrid>
        <w:gridCol w:w="4805"/>
        <w:gridCol w:w="60"/>
        <w:gridCol w:w="283"/>
        <w:gridCol w:w="1132"/>
        <w:gridCol w:w="60"/>
        <w:gridCol w:w="60"/>
        <w:gridCol w:w="343"/>
        <w:gridCol w:w="1671"/>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w:t>
      </w:r>
    </w:p>
    <w:tbl>
      <w:tblPr>
        <w:tblW w:w="7313" w:type="dxa"/>
        <w:jc w:val="left"/>
        <w:tblInd w:w="0" w:type="dxa"/>
        <w:tblLayout w:type="fixed"/>
        <w:tblCellMar>
          <w:top w:w="0" w:type="dxa"/>
          <w:left w:w="0" w:type="dxa"/>
          <w:bottom w:w="0" w:type="dxa"/>
          <w:right w:w="0" w:type="dxa"/>
        </w:tblCellMar>
      </w:tblPr>
      <w:tblGrid>
        <w:gridCol w:w="3560"/>
        <w:gridCol w:w="60"/>
        <w:gridCol w:w="255"/>
        <w:gridCol w:w="1159"/>
        <w:gridCol w:w="95"/>
        <w:gridCol w:w="60"/>
        <w:gridCol w:w="363"/>
        <w:gridCol w:w="1651"/>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xml:space="preserve">Total debt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measured at fair value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Measured at Fair Value</w:t>
      </w:r>
    </w:p>
    <w:tbl>
      <w:tblPr>
        <w:tblW w:w="7413" w:type="dxa"/>
        <w:jc w:val="left"/>
        <w:tblInd w:w="0" w:type="dxa"/>
        <w:tblLayout w:type="fixed"/>
        <w:tblCellMar>
          <w:top w:w="0" w:type="dxa"/>
          <w:left w:w="0" w:type="dxa"/>
          <w:bottom w:w="0" w:type="dxa"/>
          <w:right w:w="0" w:type="dxa"/>
        </w:tblCellMar>
      </w:tblPr>
      <w:tblGrid>
        <w:gridCol w:w="3695"/>
        <w:gridCol w:w="60"/>
        <w:gridCol w:w="255"/>
        <w:gridCol w:w="1159"/>
        <w:gridCol w:w="95"/>
        <w:gridCol w:w="60"/>
        <w:gridCol w:w="704"/>
        <w:gridCol w:w="131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Notes payable – measured at fair value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debt measured at fair value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an exchange agreement pursuant to which certain outstanding indebtedness and other amounts owed were exchanged for shares of the Company’s Class A Common Stock. Under this agreement, outstanding obligations of $1,425 were partially settled through the issuance of shares having an aggregate value of $615, with the remaining balance of $810 to be resolved under a separate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final exchange agreement pursuant to which certain outstanding indebtedness and other amounts owed were exchanged for shares of the Company’s Class A Common Stock. Under the agreement, the remaining balance of $810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459,310 shares of the Company’s Class A Common Stock and recognized a loss on the extinguishment of debt of $149,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and the holders of four notes agreed to settle the outstanding principal and accrued interest, totaling $3,001, for 1,207,015 shares of the Company’s Class A Common Stock. The Company recognized a loss on the extinguishment of debt of $597, which was recorded in loss on extinguishment of notes payable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the holders of three notes agreed to settle the outstanding principal and accrued interest, totaling $661, for 79,868 shares of the Company’s Class A Common Stock. The Company recognized a loss on the extinguishment of debt of $300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agreement, entered into on March 31, 2026, with Leviston Resources, LLC (“Leviston”), provided for a senior secured convertible note with a principal amount of $3,000 (the “Convertible Note”).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at the time of settlement of $6,827, or $2.73 per share, the Company recognized a loss on extinguishment of debt of $3,328,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the Company issued to Leviston an Additional Note pursuant to the IRA with a principal amount of $1,200. The holder funded $1,000 reflecting an original issue discount of $200, resulting in net proceeds to the Company of $1,000. This note bears interest at 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2026, the Company issued to Leviston a senior secured convertible note with a principal amount of $2,800. The holder funded $2,333, reflecting an original issue discount of $467, and $25 was withheld for legal fees, resulting in net proceeds to the Company of $2,308. This note bears interest at 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Maximcash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$600. Under the amendment, the Company agreed to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$232, consisting of principal of $140 and accrued interest of $92, was settled through the issuance of 169,375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or delivered at the time of settlement of $376, or $2.22 per share, the Company recognized a loss on extinguishment of debt of $144,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and Sale of Future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for net proceeds to the Company of $480.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three agreements for the purchase and sale of future receipts with unrelated buyers, pursuant to which the Company agreed to sell to the buyer certain future trade receipts in the aggregate amount of $2,918 (the “Future Receipts Purchased Amount”) for net proceeds to the Company of $1,930.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two notes payable with financial institutions for net proceeds of $545. The notes have terms of seven to eighteen months and require weekly payments totaling $819, including finance charges. The notes are secured by substantially all of the Company’s assets and one note is guaranteed by an officer and director of the Company. The Company also borrowed $100 from an unrelated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Principal Payments and Remaining Principal Balances on Non-Related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the Company made principal payments on notes payable of $2,842 and $655, respectively. As of June 30, 2026, notes payable having an aggregate remaining principal balance of $995 were outstanding and are included in “Notes payable” in the condensed consolidated balance sheet. As of June 30, 2026, notes payable measured at a fair value of $3,360 are included in “Notes payable – measured at fair value”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bear interest at 7% per annum and are unsecured. One 7% promissory note, having a principal balance of $229 as of June 30, 2026, is payable in monthly payments of varying amounts through September 2026. The other 7% promissory note, having a principal balance of $1,168 as of June 30,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June 30, 2026. During the nine months ended June 30, 2026 and 2025, the Company made principal payments of $854 and $115, respectively, on the 7% promissory notes.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five months to 1.1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4493" w:type="dxa"/>
        <w:jc w:val="left"/>
        <w:tblInd w:w="0" w:type="dxa"/>
        <w:tblLayout w:type="fixed"/>
        <w:tblCellMar>
          <w:top w:w="0" w:type="dxa"/>
          <w:left w:w="0" w:type="dxa"/>
          <w:bottom w:w="0" w:type="dxa"/>
          <w:right w:w="0" w:type="dxa"/>
        </w:tblCellMar>
      </w:tblPr>
      <w:tblGrid>
        <w:gridCol w:w="2000"/>
        <w:gridCol w:w="60"/>
        <w:gridCol w:w="284"/>
        <w:gridCol w:w="773"/>
        <w:gridCol w:w="122"/>
        <w:gridCol w:w="122"/>
        <w:gridCol w:w="284"/>
        <w:gridCol w:w="77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nine months ended June 30, 2026 and 2025 was $239 and $458, respectively. As of June 30, 2026, the weighted-average remaining lease term was 0.7 years, and the weighted-average discount rate was 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2026 (remaining three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$3 and an income tax benefit of $2 for the three months ended June 30, 2026 and 2025, respectively, and an income tax benefit of $18 and an income tax benefit of $9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preferred stock instruments at issuance and each reporting period for classification and derivative features requiring bifurcation.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Preferred Stock and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a Securities Purchase Agreement (the “Kips Purchase Agreement”) with Kips Bay Select, LP (“Kips”), pursuant to which the Company agreed to sell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 per share. Kips funded $2,000 and $25 was withheld for legal fees, resulting in net proceeds to the Company of $1,975.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whether voluntary or involuntary, holders of preferred stock shall be entitled to receive out of the assets, whether capital or surplus, of the Company an amount equal to the Stated Value of $1,200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cumulative and accrue at a stated rate of 10.00% of the Stated Value per annum and are payable in cash, or at the Company’s option,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$3,707, included in “Loss on issuance of preferred shares and liability-classified warrants” on the condensed consolidated statements of operations and comprehensive loss.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The Company recorded a charge of $600 in the three months ended June 30, 2026 with respect to the Extension Shares, which was recorded in financing costs expensed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exchange agreements discussed in Note 7,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nine months ended June 30, 2025, the Company and the holders of certain of the Company’s accounts payable and accrued expenses and other current liabilities agreed to settle the outstanding balances, totaling $2,122, for 134,062 shares of the Company’s Class A Common Stock. The Company recognized a gain on the settlements of $1,469 recorded in other non-operating (gains) losses, net,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in connection with a modification of the RaGE earnout agreement, the Company issued 464,952 shares of the Company’s Class A Common Stock. The Company recognized an additional expense on the issuance of $1,121 recorded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nine months ended June 30, 2025, holders of 12,500 shares of the Company’s Class B Common Stock elected to convert such shares into the same number of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 On June 26, 2026, the Company terminated its At The Market Offering Agreement and filed a post-effective amendment to deregister approximately 900,000 shares of Class A Common Stock previously registered for potential sale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sold 191,449 shares of its Class A Common Stock under the ATM Agreement, for net proceeds (after commissions) of $1,254.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9790" w:type="dxa"/>
        <w:jc w:val="left"/>
        <w:tblInd w:w="0" w:type="dxa"/>
        <w:tblLayout w:type="fixed"/>
        <w:tblCellMar>
          <w:top w:w="0" w:type="dxa"/>
          <w:left w:w="0" w:type="dxa"/>
          <w:bottom w:w="0" w:type="dxa"/>
          <w:right w:w="0" w:type="dxa"/>
        </w:tblCellMar>
      </w:tblPr>
      <w:tblGrid>
        <w:gridCol w:w="8375"/>
        <w:gridCol w:w="60"/>
        <w:gridCol w:w="60"/>
        <w:gridCol w:w="1220"/>
        <w:gridCol w:w="75"/>
      </w:tblGrid>
      <w:tr>
        <w:trPr/>
        <w:tc>
          <w:tcPr>
            <w:tcW w:w="8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15,001,187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2,593,074</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Extension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294,117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 for conversion of Series A 10% Convertible Preferred Stock and exercise of Preferred Warrant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conversion of convertible notes payable measured at fair value</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711,217</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357,047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Awards available for grant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Shares of 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265,424,162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60"/>
        <w:gridCol w:w="10005"/>
      </w:tblGrid>
      <w:tr>
        <w:trPr/>
        <w:tc>
          <w:tcPr>
            <w:tcW w:w="140"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right"/>
              <w:rPr>
                <w:position w:val="8"/>
                <w:sz w:val="19"/>
              </w:rPr>
            </w:pPr>
            <w:r>
              <w:rPr>
                <w:position w:val="8"/>
                <w:sz w:val="19"/>
              </w:rPr>
              <w:t>2</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Class A Common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8128" w:type="dxa"/>
        <w:jc w:val="left"/>
        <w:tblInd w:w="0" w:type="dxa"/>
        <w:tblLayout w:type="fixed"/>
        <w:tblCellMar>
          <w:top w:w="0" w:type="dxa"/>
          <w:left w:w="0" w:type="dxa"/>
          <w:bottom w:w="28" w:type="dxa"/>
          <w:right w:w="0" w:type="dxa"/>
        </w:tblCellMar>
      </w:tblPr>
      <w:tblGrid>
        <w:gridCol w:w="4445"/>
        <w:gridCol w:w="60"/>
        <w:gridCol w:w="81"/>
        <w:gridCol w:w="1333"/>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both"/>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Public Warrants and Private Warrants - $57.90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$0.00 Extension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294,117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38,000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38,000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$8.20 to $9.60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632,857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632,857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$10.80 to $11.80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1,002,075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902,075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$17.38 to $20.00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vAlign w:val="center"/>
          </w:tcPr>
          <w:p>
            <w:pPr>
              <w:pStyle w:val="TableContents"/>
              <w:bidi w:val="0"/>
              <w:spacing w:before="0" w:after="283"/>
              <w:jc w:val="left"/>
              <w:rPr/>
            </w:pPr>
            <w:r>
              <w:rPr/>
              <w:t> </w:t>
            </w:r>
          </w:p>
        </w:tc>
        <w:tc>
          <w:tcPr>
            <w:tcW w:w="1333" w:type="dxa"/>
            <w:tcBorders>
              <w:bottom w:val="single" w:sz="8" w:space="0" w:color="000000"/>
            </w:tcBorders>
            <w:shd w:fill="CCEEFF" w:val="clear"/>
            <w:vAlign w:val="center"/>
          </w:tcPr>
          <w:p>
            <w:pPr>
              <w:pStyle w:val="TableContents"/>
              <w:bidi w:val="0"/>
              <w:spacing w:before="0" w:after="283"/>
              <w:jc w:val="right"/>
              <w:rPr/>
            </w:pPr>
            <w:r>
              <w:rPr/>
              <w:t>20,142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899" w:type="dxa"/>
            <w:tcBorders>
              <w:bottom w:val="single" w:sz="8" w:space="0" w:color="000000"/>
            </w:tcBorders>
            <w:shd w:fill="CCEEFF" w:val="clear"/>
            <w:vAlign w:val="center"/>
          </w:tcPr>
          <w:p>
            <w:pPr>
              <w:pStyle w:val="TableContents"/>
              <w:bidi w:val="0"/>
              <w:spacing w:before="0" w:after="283"/>
              <w:jc w:val="right"/>
              <w:rPr/>
            </w:pPr>
            <w:r>
              <w:rPr/>
              <w:t>35,636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p>
        </w:tc>
        <w:tc>
          <w:tcPr>
            <w:tcW w:w="1333" w:type="dxa"/>
            <w:tcBorders>
              <w:bottom w:val="single" w:sz="8" w:space="0" w:color="000000"/>
            </w:tcBorders>
            <w:shd w:fill="FFFFFF" w:val="clear"/>
            <w:vAlign w:val="center"/>
          </w:tcPr>
          <w:p>
            <w:pPr>
              <w:pStyle w:val="TableContents"/>
              <w:bidi w:val="0"/>
              <w:spacing w:before="0" w:after="283"/>
              <w:jc w:val="right"/>
              <w:rPr/>
            </w:pPr>
            <w:r>
              <w:rPr/>
              <w:t>2,887,191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p>
        </w:tc>
        <w:tc>
          <w:tcPr>
            <w:tcW w:w="1899" w:type="dxa"/>
            <w:tcBorders>
              <w:bottom w:val="single" w:sz="8" w:space="0" w:color="000000"/>
            </w:tcBorders>
            <w:shd w:fill="FFFFFF" w:val="clear"/>
            <w:vAlign w:val="center"/>
          </w:tcPr>
          <w:p>
            <w:pPr>
              <w:pStyle w:val="TableContents"/>
              <w:bidi w:val="0"/>
              <w:spacing w:before="0" w:after="283"/>
              <w:jc w:val="right"/>
              <w:rPr/>
            </w:pPr>
            <w:r>
              <w:rPr/>
              <w:t>2,508,568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Series A 10% Convertible Preferred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378" w:type="dxa"/>
        <w:jc w:val="left"/>
        <w:tblInd w:w="0" w:type="dxa"/>
        <w:tblLayout w:type="fixed"/>
        <w:tblCellMar>
          <w:top w:w="0" w:type="dxa"/>
          <w:left w:w="0" w:type="dxa"/>
          <w:bottom w:w="28" w:type="dxa"/>
          <w:right w:w="0" w:type="dxa"/>
        </w:tblCellMar>
      </w:tblPr>
      <w:tblGrid>
        <w:gridCol w:w="3695"/>
        <w:gridCol w:w="60"/>
        <w:gridCol w:w="136"/>
        <w:gridCol w:w="1278"/>
        <w:gridCol w:w="60"/>
        <w:gridCol w:w="60"/>
        <w:gridCol w:w="377"/>
        <w:gridCol w:w="1637"/>
        <w:gridCol w:w="75"/>
      </w:tblGrid>
      <w:tr>
        <w:trPr/>
        <w:tc>
          <w:tcPr>
            <w:tcW w:w="3695" w:type="dxa"/>
            <w:tcBorders>
              <w:bottom w:val="single" w:sz="8" w:space="0" w:color="000000"/>
            </w:tcBorders>
            <w:vAlign w:val="center"/>
          </w:tcPr>
          <w:p>
            <w:pPr>
              <w:pStyle w:val="TableContents"/>
              <w:bidi w:val="0"/>
              <w:spacing w:before="0" w:after="283"/>
              <w:jc w:val="left"/>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shd w:fill="CCEEFF" w:val="clear"/>
            <w:tcMar>
              <w:bottom w:w="0" w:type="dxa"/>
            </w:tcMar>
            <w:vAlign w:val="center"/>
          </w:tcPr>
          <w:p>
            <w:pPr>
              <w:pStyle w:val="TableContents"/>
              <w:bidi w:val="0"/>
              <w:spacing w:before="0" w:after="283"/>
              <w:jc w:val="left"/>
              <w:rPr/>
            </w:pPr>
            <w:r>
              <w:rPr/>
              <w:t>Preferred Warrant - $1,000.00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278" w:type="dxa"/>
            <w:tcBorders>
              <w:bottom w:val="single" w:sz="8"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vAlign w:val="center"/>
          </w:tcPr>
          <w:p>
            <w:pPr>
              <w:pStyle w:val="TableContents"/>
              <w:bidi w:val="0"/>
              <w:spacing w:before="0" w:after="283"/>
              <w:jc w:val="left"/>
              <w:rPr/>
            </w:pPr>
            <w:r>
              <w:rPr/>
              <w:t> </w:t>
            </w:r>
          </w:p>
        </w:tc>
        <w:tc>
          <w:tcPr>
            <w:tcW w:w="1637"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p>
        </w:tc>
        <w:tc>
          <w:tcPr>
            <w:tcW w:w="1278" w:type="dxa"/>
            <w:tcBorders>
              <w:bottom w:val="single" w:sz="8" w:space="0" w:color="000000"/>
            </w:tcBorders>
            <w:shd w:fill="FFFFFF" w:val="cle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p>
        </w:tc>
        <w:tc>
          <w:tcPr>
            <w:tcW w:w="1637"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nine months ended June 30, 2026 and 2025, the Company recognized net non-cash losses of $320 and net non-cash gains of $1,237, respectively, which are included in “Change in fair value of warrants” in the condensed consolidated statements of operations and comprehensive loss. As of June 30, 2026 and September 30, 2025, the related liabilities of $3,047 and $6,859,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357,047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nine months ended June 30, 2026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RSUs </w:t>
      </w:r>
    </w:p>
    <w:tbl>
      <w:tblPr>
        <w:tblW w:w="6649" w:type="dxa"/>
        <w:jc w:val="left"/>
        <w:tblInd w:w="0" w:type="dxa"/>
        <w:tblLayout w:type="fixed"/>
        <w:tblCellMar>
          <w:top w:w="0" w:type="dxa"/>
          <w:left w:w="0" w:type="dxa"/>
          <w:bottom w:w="0" w:type="dxa"/>
          <w:right w:w="0" w:type="dxa"/>
        </w:tblCellMar>
      </w:tblPr>
      <w:tblGrid>
        <w:gridCol w:w="3380"/>
        <w:gridCol w:w="60"/>
        <w:gridCol w:w="87"/>
        <w:gridCol w:w="1282"/>
        <w:gridCol w:w="95"/>
        <w:gridCol w:w="60"/>
        <w:gridCol w:w="152"/>
        <w:gridCol w:w="145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458" w:type="dxa"/>
            <w:tcBorders/>
            <w:shd w:fill="CCEEFF" w:val="clear"/>
            <w:vAlign w:val="center"/>
          </w:tcPr>
          <w:p>
            <w:pPr>
              <w:pStyle w:val="TableContents"/>
              <w:bidi w:val="0"/>
              <w:spacing w:before="0" w:after="283"/>
              <w:jc w:val="right"/>
              <w:rPr/>
            </w:pPr>
            <w:r>
              <w:rPr/>
              <w:t>             </w:t>
            </w: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194,286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2.67</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(18,773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12.96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(623,955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19.06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506,120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48.81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$6,479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RSAs  </w:t>
      </w:r>
    </w:p>
    <w:tbl>
      <w:tblPr>
        <w:tblW w:w="6784" w:type="dxa"/>
        <w:jc w:val="left"/>
        <w:tblInd w:w="0" w:type="dxa"/>
        <w:tblLayout w:type="fixed"/>
        <w:tblCellMar>
          <w:top w:w="0" w:type="dxa"/>
          <w:left w:w="0" w:type="dxa"/>
          <w:bottom w:w="0" w:type="dxa"/>
          <w:right w:w="0" w:type="dxa"/>
        </w:tblCellMar>
      </w:tblPr>
      <w:tblGrid>
        <w:gridCol w:w="3380"/>
        <w:gridCol w:w="60"/>
        <w:gridCol w:w="96"/>
        <w:gridCol w:w="1408"/>
        <w:gridCol w:w="95"/>
        <w:gridCol w:w="60"/>
        <w:gridCol w:w="388"/>
        <w:gridCol w:w="12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(144,750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$1,545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929"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22"/>
        <w:gridCol w:w="1288"/>
        <w:gridCol w:w="60"/>
        <w:gridCol w:w="60"/>
        <w:gridCol w:w="254"/>
        <w:gridCol w:w="13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(6,329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205,097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202,669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$159 as of June 30, 2026, is expected to be recognized over a weighted-average period of 0.4 years. The aggregate intrinsic value of stock options outstanding and stock options exercisable as of June 30, 2026 was $13 and $13, respectively. The total intrinsic value of options exercised during the nine months ended June 30, 2026 and 2025 was $165 and $0, respectively. The total fair value of options that vested during the nine months ended June 30, 2026 and 2025 was $528 and $471, respectively. No stock options were granted during the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8978" w:type="dxa"/>
        <w:jc w:val="left"/>
        <w:tblInd w:w="0" w:type="dxa"/>
        <w:tblLayout w:type="fixed"/>
        <w:tblCellMar>
          <w:top w:w="0" w:type="dxa"/>
          <w:left w:w="0" w:type="dxa"/>
          <w:bottom w:w="0" w:type="dxa"/>
          <w:right w:w="0" w:type="dxa"/>
        </w:tblCellMar>
      </w:tblPr>
      <w:tblGrid>
        <w:gridCol w:w="3890"/>
        <w:gridCol w:w="60"/>
        <w:gridCol w:w="228"/>
        <w:gridCol w:w="913"/>
        <w:gridCol w:w="97"/>
        <w:gridCol w:w="97"/>
        <w:gridCol w:w="228"/>
        <w:gridCol w:w="913"/>
        <w:gridCol w:w="60"/>
        <w:gridCol w:w="60"/>
        <w:gridCol w:w="201"/>
        <w:gridCol w:w="805"/>
        <w:gridCol w:w="86"/>
        <w:gridCol w:w="86"/>
        <w:gridCol w:w="201"/>
        <w:gridCol w:w="97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116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2,270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19,922</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2,350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pPr>
            <w:r>
              <w:rPr/>
              <w:t>9,941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pPr>
            <w:r>
              <w:rPr/>
              <w:t>20,256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7% promissory notes - related parties and the notes payable - related parties each mature within one year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June 30, 2026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7273" w:type="dxa"/>
        <w:jc w:val="left"/>
        <w:tblInd w:w="0" w:type="dxa"/>
        <w:tblLayout w:type="fixed"/>
        <w:tblCellMar>
          <w:top w:w="0" w:type="dxa"/>
          <w:left w:w="0" w:type="dxa"/>
          <w:bottom w:w="0" w:type="dxa"/>
          <w:right w:w="0" w:type="dxa"/>
        </w:tblCellMar>
      </w:tblPr>
      <w:tblGrid>
        <w:gridCol w:w="3815"/>
        <w:gridCol w:w="60"/>
        <w:gridCol w:w="263"/>
        <w:gridCol w:w="491"/>
        <w:gridCol w:w="60"/>
        <w:gridCol w:w="60"/>
        <w:gridCol w:w="263"/>
        <w:gridCol w:w="491"/>
        <w:gridCol w:w="60"/>
        <w:gridCol w:w="60"/>
        <w:gridCol w:w="151"/>
        <w:gridCol w:w="604"/>
        <w:gridCol w:w="60"/>
        <w:gridCol w:w="60"/>
        <w:gridCol w:w="140"/>
        <w:gridCol w:w="56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conversion feature derivative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measured at fair value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9410" w:type="dxa"/>
        <w:jc w:val="left"/>
        <w:tblInd w:w="0" w:type="dxa"/>
        <w:tblLayout w:type="fixed"/>
        <w:tblCellMar>
          <w:top w:w="0" w:type="dxa"/>
          <w:left w:w="0" w:type="dxa"/>
          <w:bottom w:w="28" w:type="dxa"/>
          <w:right w:w="0" w:type="dxa"/>
        </w:tblCellMar>
      </w:tblPr>
      <w:tblGrid>
        <w:gridCol w:w="4580"/>
        <w:gridCol w:w="60"/>
        <w:gridCol w:w="154"/>
        <w:gridCol w:w="616"/>
        <w:gridCol w:w="95"/>
        <w:gridCol w:w="60"/>
        <w:gridCol w:w="152"/>
        <w:gridCol w:w="693"/>
        <w:gridCol w:w="95"/>
        <w:gridCol w:w="60"/>
        <w:gridCol w:w="292"/>
        <w:gridCol w:w="1168"/>
        <w:gridCol w:w="60"/>
        <w:gridCol w:w="60"/>
        <w:gridCol w:w="320"/>
        <w:gridCol w:w="870"/>
        <w:gridCol w:w="75"/>
      </w:tblGrid>
      <w:tr>
        <w:trPr/>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2026:</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Notes Payable</w:t>
            </w:r>
          </w:p>
          <w:p>
            <w:pPr>
              <w:pStyle w:val="TableContents"/>
              <w:bidi w:val="0"/>
              <w:jc w:val="center"/>
              <w:rPr>
                <w:rFonts w:ascii="Times New Roman;Times;Serif" w:hAnsi="Times New Roman;Times;Serif"/>
                <w:b/>
              </w:rPr>
            </w:pPr>
            <w:r>
              <w:rPr>
                <w:rFonts w:ascii="Times New Roman;Times;Serif" w:hAnsi="Times New Roman;Times;Serif"/>
                <w:b/>
              </w:rPr>
              <w:t>Measured at</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Bifurcated</w:t>
            </w:r>
          </w:p>
          <w:p>
            <w:pPr>
              <w:pStyle w:val="TableContents"/>
              <w:bidi w:val="0"/>
              <w:jc w:val="center"/>
              <w:rPr>
                <w:rFonts w:ascii="Times New Roman;Times;Serif" w:hAnsi="Times New Roman;Times;Serif"/>
                <w:b/>
              </w:rPr>
            </w:pPr>
            <w:r>
              <w:rPr>
                <w:rFonts w:ascii="Times New Roman;Times;Serif" w:hAnsi="Times New Roman;Times;Serif"/>
                <w:b/>
              </w:rPr>
              <w:t>Conversion</w:t>
            </w:r>
          </w:p>
          <w:p>
            <w:pPr>
              <w:pStyle w:val="TableContents"/>
              <w:bidi w:val="0"/>
              <w:jc w:val="center"/>
              <w:rPr>
                <w:rFonts w:ascii="Times New Roman;Times;Serif" w:hAnsi="Times New Roman;Times;Serif"/>
                <w:b/>
              </w:rPr>
            </w:pPr>
            <w:r>
              <w:rPr>
                <w:rFonts w:ascii="Times New Roman;Times;Serif" w:hAnsi="Times New Roman;Times;Serif"/>
                <w:b/>
              </w:rPr>
              <w:t>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r>
          </w:p>
        </w:tc>
        <w:tc>
          <w:tcPr>
            <w:tcW w:w="75" w:type="dxa"/>
            <w:tcBorders/>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notes payable measured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left"/>
              <w:rPr/>
            </w:pPr>
            <w:r>
              <w:rPr/>
              <w:t> </w:t>
            </w:r>
          </w:p>
        </w:tc>
        <w:tc>
          <w:tcPr>
            <w:tcW w:w="87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5915"/>
        <w:gridCol w:w="60"/>
        <w:gridCol w:w="154"/>
        <w:gridCol w:w="616"/>
        <w:gridCol w:w="95"/>
        <w:gridCol w:w="60"/>
        <w:gridCol w:w="152"/>
        <w:gridCol w:w="693"/>
        <w:gridCol w:w="110"/>
      </w:tblGrid>
      <w:tr>
        <w:trPr/>
        <w:tc>
          <w:tcPr>
            <w:tcW w:w="591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2025:</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warrants in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Modification of warrants in connection with private placement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3779" w:type="dxa"/>
        <w:jc w:val="left"/>
        <w:tblInd w:w="0" w:type="dxa"/>
        <w:tblLayout w:type="fixed"/>
        <w:tblCellMar>
          <w:top w:w="0" w:type="dxa"/>
          <w:left w:w="0" w:type="dxa"/>
          <w:bottom w:w="0" w:type="dxa"/>
          <w:right w:w="0" w:type="dxa"/>
        </w:tblCellMar>
      </w:tblPr>
      <w:tblGrid>
        <w:gridCol w:w="1805"/>
        <w:gridCol w:w="60"/>
        <w:gridCol w:w="169"/>
        <w:gridCol w:w="1515"/>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rFonts w:ascii="Times New Roman;Times;Serif" w:hAnsi="Times New Roman;Times;Serif"/>
                <w:sz w:val="20"/>
              </w:rPr>
              <w:t>4.3</w:t>
            </w:r>
            <w:r>
              <w:rPr/>
              <w:t xml:space="preserve"> – </w:t>
            </w:r>
            <w:r>
              <w:rPr>
                <w:rFonts w:ascii="Times New Roman;Times;Serif" w:hAnsi="Times New Roman;Times;Serif"/>
                <w:sz w:val="20"/>
              </w:rPr>
              <w:t>4.9</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Preferred Warrants and Bifurcated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1805"/>
        <w:gridCol w:w="60"/>
        <w:gridCol w:w="186"/>
        <w:gridCol w:w="1003"/>
        <w:gridCol w:w="215"/>
        <w:gridCol w:w="60"/>
        <w:gridCol w:w="382"/>
        <w:gridCol w:w="130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rFonts w:ascii="Times New Roman;Times;Serif" w:hAnsi="Times New Roman;Times;Serif"/>
                <w:sz w:val="20"/>
              </w:rPr>
              <w:t>5.7</w:t>
            </w:r>
            <w:r>
              <w:rPr/>
              <w:t xml:space="preserve"> </w:t>
            </w:r>
            <w:r>
              <w:rPr>
                <w:rFonts w:ascii="Times New Roman;Times;Serif" w:hAnsi="Times New Roman;Times;Serif"/>
                <w:sz w:val="20"/>
              </w:rPr>
              <w:t>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rFonts w:ascii="Times New Roman;Times;Serif" w:hAnsi="Times New Roman;Times;Serif"/>
                <w:sz w:val="20"/>
              </w:rPr>
              <w:t>6.2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pStyle w:val="TextBody"/>
        <w:bidi w:val="0"/>
        <w:spacing w:before="0" w:after="0"/>
        <w:ind w:left="0" w:right="0" w:firstLine="360"/>
        <w:jc w:val="both"/>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1805"/>
        <w:gridCol w:w="60"/>
        <w:gridCol w:w="140"/>
        <w:gridCol w:w="146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125.4</w:t>
            </w:r>
            <w:r>
              <w:rPr/>
              <w:t xml:space="preserve"> – </w:t>
            </w:r>
            <w:r>
              <w:rPr>
                <w:rFonts w:ascii="Times New Roman;Times;Serif" w:hAnsi="Times New Roman;Times;Serif"/>
                <w:sz w:val="20"/>
              </w:rPr>
              <w:t>136.3</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 – 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0.22</w:t>
            </w:r>
            <w:r>
              <w:rPr/>
              <w:t xml:space="preserve"> – </w:t>
            </w:r>
            <w:r>
              <w:rPr>
                <w:rFonts w:ascii="Times New Roman;Times;Serif" w:hAnsi="Times New Roman;Times;Serif"/>
                <w:sz w:val="20"/>
              </w:rPr>
              <w:t>0.32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800"/>
        <w:gridCol w:w="95"/>
        <w:gridCol w:w="60"/>
        <w:gridCol w:w="140"/>
        <w:gridCol w:w="980"/>
        <w:gridCol w:w="95"/>
        <w:gridCol w:w="60"/>
        <w:gridCol w:w="140"/>
        <w:gridCol w:w="800"/>
        <w:gridCol w:w="110"/>
      </w:tblGrid>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June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 </w:t>
      </w:r>
    </w:p>
    <w:tbl>
      <w:tblPr>
        <w:tblW w:w="10205" w:type="dxa"/>
        <w:jc w:val="left"/>
        <w:tblInd w:w="0" w:type="dxa"/>
        <w:tblLayout w:type="fixed"/>
        <w:tblCellMar>
          <w:top w:w="0" w:type="dxa"/>
          <w:left w:w="0" w:type="dxa"/>
          <w:bottom w:w="0" w:type="dxa"/>
          <w:right w:w="0" w:type="dxa"/>
        </w:tblCellMar>
      </w:tblPr>
      <w:tblGrid>
        <w:gridCol w:w="7739"/>
        <w:gridCol w:w="60"/>
        <w:gridCol w:w="63"/>
        <w:gridCol w:w="1038"/>
        <w:gridCol w:w="63"/>
        <w:gridCol w:w="63"/>
        <w:gridCol w:w="63"/>
        <w:gridCol w:w="1038"/>
        <w:gridCol w:w="78"/>
      </w:tblGrid>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2,107,840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potentially issuable upon conversion of preferred stock or exercise of warrants on preferred stock</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pPr>
            <w:r>
              <w:rPr/>
              <w:t>Shares potentially issuable upon conversion of convertible notes payable measured at fair value</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342,500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510,000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506,120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620,414</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245,262</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3,897,797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position w:val="8"/>
                <w:sz w:val="19"/>
              </w:rPr>
            </w:pPr>
            <w:r>
              <w:rPr>
                <w:position w:val="8"/>
                <w:sz w:val="19"/>
              </w:rPr>
              <w:t>3</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both"/>
              <w:rPr>
                <w:position w:val="8"/>
                <w:sz w:val="19"/>
              </w:rPr>
            </w:pPr>
            <w:r>
              <w:rPr>
                <w:position w:val="8"/>
                <w:sz w:val="19"/>
              </w:rPr>
              <w:t>4</w:t>
            </w:r>
          </w:p>
        </w:tc>
        <w:tc>
          <w:tcPr>
            <w:tcW w:w="10065" w:type="dxa"/>
            <w:tcBorders/>
            <w:vAlign w:val="center"/>
          </w:tcPr>
          <w:p>
            <w:pPr>
              <w:pStyle w:val="TableContents"/>
              <w:bidi w:val="0"/>
              <w:spacing w:before="0" w:after="283"/>
              <w:jc w:val="both"/>
              <w:rPr/>
            </w:pPr>
            <w:r>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two customers accounted for 62% of the Company’s net revenue. For the three months ended June 30, 2025, one customer accounted for 33% of the Company’s net revenue. For the nine months ended June 30, 2026, two customers accounted for 35% of the Company’s net revenue. For the nine months ended June 30, 2025, one customer accounted for 55%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two customers had balances due that represented 47% of the Company’s total accounts receivable. As of September 30, 2025, two customers had balances due that represented 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 </w:t>
      </w:r>
    </w:p>
    <w:tbl>
      <w:tblPr>
        <w:tblW w:w="6777" w:type="dxa"/>
        <w:jc w:val="left"/>
        <w:tblInd w:w="0" w:type="dxa"/>
        <w:tblLayout w:type="fixed"/>
        <w:tblCellMar>
          <w:top w:w="0" w:type="dxa"/>
          <w:left w:w="0" w:type="dxa"/>
          <w:bottom w:w="0" w:type="dxa"/>
          <w:right w:w="0" w:type="dxa"/>
        </w:tblCellMar>
      </w:tblPr>
      <w:tblGrid>
        <w:gridCol w:w="1685"/>
        <w:gridCol w:w="60"/>
        <w:gridCol w:w="259"/>
        <w:gridCol w:w="703"/>
        <w:gridCol w:w="111"/>
        <w:gridCol w:w="111"/>
        <w:gridCol w:w="259"/>
        <w:gridCol w:w="1036"/>
        <w:gridCol w:w="60"/>
        <w:gridCol w:w="60"/>
        <w:gridCol w:w="217"/>
        <w:gridCol w:w="869"/>
        <w:gridCol w:w="93"/>
        <w:gridCol w:w="93"/>
        <w:gridCol w:w="217"/>
        <w:gridCol w:w="86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 — Vision Aerial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$12,000 divided by the volume-weighted average price per share of the Class A Common Stock for the 20 trading days ending on (and including) the third trading day preceding the closing, which price shall not be less than $2.00 nor greater than $3.00 per share (subject to equitable adjustment), and (ii) $3,000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Agreement and Plan of Merger — Special Project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Warrant Exercise and Preferred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shares of Series A 10% Convertible Preferred Stock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sp_001"/>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unaudited condensed consolidated financial statements included in Part I, Item 1 of this Quarterly Report on Form 10-Q.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You should carefully read the Cautionary Note Regarding Forward-Looking Statements as well as the risk factors set forth in our Annual Report on Form 10-K for the year ended September 30, 2025 and our other SEC filings to gain an understanding of the important factors that could cause actual results to differ materially from our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All amounts in </w:t>
      </w:r>
      <w:r>
        <w:rPr>
          <w:rFonts w:ascii="Times New Roman;Times;Serif" w:hAnsi="Times New Roman;Times;Serif"/>
          <w:b w:val="false"/>
          <w:i w:val="false"/>
          <w:caps w:val="false"/>
          <w:smallCaps w:val="false"/>
          <w:sz w:val="20"/>
        </w:rPr>
        <w:t>this “</w:t>
      </w:r>
      <w:r>
        <w:rPr>
          <w:rFonts w:ascii="Times New Roman;Times;Serif" w:hAnsi="Times New Roman;Times;Serif"/>
          <w:b w:val="false"/>
          <w:i/>
          <w:caps w:val="false"/>
          <w:smallCaps w:val="false"/>
          <w:sz w:val="20"/>
        </w:rPr>
        <w:t>Management’s Discussion and Analysis of Financial Condition and Results of Operations” are in thousands, except numbers of shares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5G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 Our Class A Common Stock and our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 Our NSM Initiative extends this strategy to the broader national security priorities described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our board of directors approved a reverse stock split of our Class A Common Stock and Class B Common Stock at a ratio of 1-for-10 (the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The Reverse Stock Split became effective at 4:00 p.m. Eastern Time on April 6, 2026, and our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pursuant to exchange agreements under which (i) indebtedness of $785 was exchanged in full, (ii) outstanding obligations of $1,425 were partially settled through the issuance of shares having an aggregate value of $615, with the remaining balance to be resolved under a separate agreement, and (iii) outstanding amounts owed under a service agreement were exchanged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These bridge notes mature on December 30, 2026 and January 15, 2027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(the “Securities Purchase Agreement”) with Leviston Resources, LLC (“Leviston”), pursuant to which we agreed to issue a convertible promissory note (the “Promissory Note”). The $3,000 principal amount of the Promissory Note will be payable with interest on July 31, 2026. We intend to use the net proceeds from the sale of the Promissory Note for working capital and general corporate purposes. The Promissory Note bears an interest rate of 10%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(the “Conversion Price”). If at any time the market price is lower than the Conversion Price, the principal of the Promissory Note is subject to adjustment in accordance with the terms of the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Senior Secured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 First Amendment to the Securities Purchase Agreement and Promissory Note (the “First Amendment”) with Leviston, amending the Promissory Note originally issued on March 31, 2026 (the “Original Note”). Pursuant to the First Amendment, Leviston advanced an additional $833 to us,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satisfied in full the entire $4,000 of outstanding principal under the Original Note, together with all accrued interest thereon, through the conversion of such amounts into 2,500,000 shares of Class A Common Stock. Upon such full satisfaction, the Original Note, the Securities Purchase Agreement (as amended by the First Amendment), and the Registration Rights Agreement, dated March 31, 2026, between the Company and Leviston, terminated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Leviston Additional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2026, we entered into an Investor Rights Agreement (the “IRA”) with Leviston, in connection with the Promissory note originally entered into on March 31, 2026 and amended pursuant to the First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our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us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and secured by the same collateral as, the Original Note. We intend to use any proceeds from exercises of the Investment Right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a senior secured convertible promissory note in the original principal amount of $1,200, for gross proceeds to us of approximately $1,000. On June 22, 2026, we issued to Leviston a senior secured convertible promissory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(the “Kips Purchase Agreement”) with Kips Bay Select, LP (“Kips”), pursuant to which we sold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$1,000.00 per share, for net proceeds to us of $1,975. Dividends are payable in cash, or at our option, shares of Series A 10% Convertible Preferred Stock.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“Certificate of Designation”).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and the Preferred Warrant were issued on June 18, 2026 upon the filing of the corrected Certificate of Designation. Under Amendment No. 1 to the Registration Rights Agreement, dated June 18, 2026, we agreed to issue 294,117 Extension Shares valued at $600 as a non-refundable registration-extension fee. We issued the Extension Shares on July 17, 2026. Our registration statement on Form S-1 (File No. 333-296928) was filed June 22, 2026 and declared effective July 16,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and Security Agreement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our timely payment of the required cash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we recognized a loss on extinguishment of debt of $144, which was recorded in loss on extinguishment of notes payable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we entered into certain securities purchase agreements with unrelated investors relating to a public offering of 3,000,000 shares of our Class A Common Stock at a price to the public of $2.00 per share (the “Offering”). In connection with the Offering, we entered into a placement agency agreement, pursuant to which we agreed to pay the placement agent a cash placement fee equal to 8.0% of the aggregate gross proceeds raised in the Offering. Subject to certain conditions, we also agreed to reimburse the placement agent up to 1.0% of the gross proceeds raised in the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Offering were approximately $5,360, after deducting placement agent fees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 Aerial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closing is subject to customary closing conditions, and there can be no assurance a transaction will be consummated.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Project Delivery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National Security Matters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proposed acquisitions of Vision Aerial and SPD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57"/>
        <w:gridCol w:w="60"/>
        <w:gridCol w:w="181"/>
        <w:gridCol w:w="980"/>
        <w:gridCol w:w="123"/>
        <w:gridCol w:w="77"/>
        <w:gridCol w:w="181"/>
        <w:gridCol w:w="824"/>
        <w:gridCol w:w="95"/>
        <w:gridCol w:w="60"/>
        <w:gridCol w:w="140"/>
        <w:gridCol w:w="635"/>
        <w:gridCol w:w="95"/>
        <w:gridCol w:w="60"/>
        <w:gridCol w:w="60"/>
        <w:gridCol w:w="680"/>
        <w:gridCol w:w="297"/>
      </w:tblGrid>
      <w:tr>
        <w:trPr/>
        <w:tc>
          <w:tcPr>
            <w:tcW w:w="5657"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366"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7,045</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(7,354</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3,791</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22,201</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(16,792</w:t>
            </w:r>
          </w:p>
        </w:tc>
        <w:tc>
          <w:tcPr>
            <w:tcW w:w="1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(16,795</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30"/>
        <w:gridCol w:w="60"/>
        <w:gridCol w:w="164"/>
        <w:gridCol w:w="891"/>
        <w:gridCol w:w="112"/>
        <w:gridCol w:w="70"/>
        <w:gridCol w:w="164"/>
        <w:gridCol w:w="891"/>
        <w:gridCol w:w="95"/>
        <w:gridCol w:w="60"/>
        <w:gridCol w:w="140"/>
        <w:gridCol w:w="755"/>
        <w:gridCol w:w="95"/>
        <w:gridCol w:w="60"/>
        <w:gridCol w:w="60"/>
        <w:gridCol w:w="560"/>
        <w:gridCol w:w="298"/>
      </w:tblGrid>
      <w:tr>
        <w:trPr/>
        <w:tc>
          <w:tcPr>
            <w:tcW w:w="573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292"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21,864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4,218</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gains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(32,791</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(30,411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(32,773</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$529 for the three months ended June 30, 2026 compared to $1,503 for the three months ended June 30, 2025, a decrease of $974 or 65%. The change is principally driven by a drop in sales of our filtered connectors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$834 for the nine months ended June 30, 2026 compared to $1,062 for the nine months ended June 30, 2025, a decrease of $228 or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$411 for the three months ended June 30, 2026 compared to $486 for the three months ended June 30, 2025, a decrease of $75 or 15%. The decrease primarily relates to lower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$7,045 for the three months ended June 30, 2026 compared to $8,208 for the three months ended June 30, 2025, a decrease of $1,163 or 14%. The change principally reflects a decrease in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related liabilities of $3,047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243" w:type="dxa"/>
        <w:jc w:val="left"/>
        <w:tblInd w:w="0" w:type="dxa"/>
        <w:tblLayout w:type="fixed"/>
        <w:tblCellMar>
          <w:top w:w="0" w:type="dxa"/>
          <w:left w:w="0" w:type="dxa"/>
          <w:bottom w:w="0" w:type="dxa"/>
          <w:right w:w="0" w:type="dxa"/>
        </w:tblCellMar>
      </w:tblPr>
      <w:tblGrid>
        <w:gridCol w:w="4745"/>
        <w:gridCol w:w="60"/>
        <w:gridCol w:w="181"/>
        <w:gridCol w:w="976"/>
        <w:gridCol w:w="122"/>
        <w:gridCol w:w="77"/>
        <w:gridCol w:w="181"/>
        <w:gridCol w:w="821"/>
        <w:gridCol w:w="95"/>
        <w:gridCol w:w="60"/>
        <w:gridCol w:w="147"/>
        <w:gridCol w:w="66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(14,719</w:t>
            </w:r>
          </w:p>
        </w:tc>
        <w:tc>
          <w:tcPr>
            <w:tcW w:w="1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13,597</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2026 was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$11 for the nine months ended June 30, 2025 consisted of proceeds from the sale of property and equipment, partially offset by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balance was $2,142 compared to $3,273 at September 30, 2025. We had a working capital deficit of $16,117 as of June 30, 2026 compared to a working capital deficit of $21,071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 Holders of 10% Convertible Preferred Shares have accrued $8 of dividends. In addition, our near-term liquidity requirements include the September and October 2026 maturities of the convertible notes with principal amounts of $1,200 and $2,800, respectively, each described in Note 7 and in “Recent Developments” and, if the Vision Aerial acquisition is consummated, the $3,000 cash component of the merger consideration. In August 2026, we received gross proceeds of $1,000 from Kips’ partial exercise of the Preferred Warrant.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related notes thereto included elsewhere in this Quarterly Report on Form 10-Q are prepared in accordance with U.S. GAAP. The preparation of condensed consolidated financial statements also requires us to make estimates and assumptions that affect the reported amounts of assets, liabilities, revenue, costs and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To the extent that there are differences between our estimates and actual results, our future financial position, results of operations, and cash flows may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there were no significant changes to our critical accounting policies and estimates compared to those previously disclosed in “Critical Accounting Policies and Estimates” included in Part II, Item 7. “Management’s Discussion and Analysis of Financial Condition and Results of Operations” included in our Annual Report on Form 10-K for the year ended September 30, 2025, filed with the SEC on January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and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sp_002"/>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sp_003"/>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Effectiveness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the design and operation of our disclosure controls and procedures, pursuant to Rule 13a-15(b) of the Exchange Act, as of June 30, 2026. We identified material weaknesses in our internal control over financial reporting as described below, and, as a result, our chief executive officer and chief financial officer concluded that our disclosure controls and procedures were not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our insufficient complement of personnel resulted in an inability to consistently establish appropriate authorities and responsibilities in pursuit of financial reporting objectives, as demonstrated by, among other things, insufficient segregation of duties in our finance and accounting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our financial statements. Specifically, changes to existing controls or the implementation of new controls have not been sufficient to respond to changes to our risks of material misstatement to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our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our financial statements and to ensure revenue transactions are recorded in the correct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our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our business combination, as of and for the years ended September 30, 2022 and 2021; adjustments to stock-based compensation expense, accrued expenses, other current liabilities, other non-operating gains and losses, and the PIPE make-whole liability, as well as the purchase price allocations for our business combinations as of and for the interim periods ended December 31, 2023, June 30, 2024, and June 30, 2026, and as of and for the year ended September 30, 2024; and, an adjustment to the number of shares of our Class B Common Stock reported as issued and outstanding as of June 30, 2025.</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our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our annual or interim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an implementation plan to remediate these material weaknesses, which we expect will result in significant future costs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remediation measures will include (i) hiring additional accounting and IT personnel to enhance our financial reporting, accounting and IT capabilities; (ii) designing and implementing controls to formalize roles and review responsibilities and designing and implementing controls over segregation of duties; (iii) designing and implementing controls to identify and evaluate changes in our business and the impact on our internal control over financial reporting; (iv) designing and implementing controls over the proper authorization of transactions; (v) designing and implementing controls to identify, account for, and value non-routine, unusual or complex transactions; (vi) designing and implementing formal accounting policies, procedures and controls supporting our financial close process, including controls over account reconciliations and journal entries; (vii) designing and implementing controls over determining the appropriate grant date for stock options and evaluating the assumptions used within the Black-Scholes model; (viii) designing and implementing controls over the completeness and accuracy of the income tax provision and related disclosure; (ix) designing and implementing controls over the classification and presentation of accounts and disclosures in our financial statements and to ensure revenue transactions are recorded in the correct period; (x) implementing a more sophisticated IT system; and (xi) designing and implementing IT general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will not be considered remediated until our remediation plan as described above has been fully implemented and we determine no further changes to the remediation plan are necessary, the applicable controls operate for a sufficient period of time, and we have concluded, through testing, that the newly implemented and enhanced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our management believes that the financial statements included in this Quarterly Report on Form 10-Q present fairly in all material respects our financial position, results of operations and cash flows for the periods presented.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p_004"/>
      <w:bookmarkEnd w:id="1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sp_005"/>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Part I, Notes to Condensed Consolidated Financial Statements, Note 9,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sp_006"/>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information set forth in this Form 10-Q, you should carefully consider the risk factors disclosed in the Company’s Form 10-K for the year ended September 30, 2025 and the Company’s Form 10-Q for the quarterly period ended March 31, 2026. The information presented below updates, and should be read in conjunction with, the risk factors and information disclosed in our Annual Report on Form 10-K and those additional risk factors in our Form 10-Q for the period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A Preferred Stock and outstanding convertible notes impose significant restrictions on our operations and our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10% Convertible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10% Convertible Preferred Stock and the convertible notes may differ from those of holders of our Class A Common Stock, and the exercise of these rights could result in outcomes that are less favorable to Class A Common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applicable to each of the Series A 10% Convertible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10% Convertible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Series A 10% Convertible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triggering events or events of default, each holder of our Series A 10% Convertible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10% Convertible Preferred Stock. Upon such an event and a holder’s election, we may be required to redeem or repay the affected security at a redemption or repayment price that represents a premium to its stated value or outstanding balance or, in the case of the Series A 10% Convertible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cash on hand to fund a redemption or repayment of the Series A 10% Convertible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new lines of business under our NSM Initiative, including through acquisitions, may not be successful and could strain our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our NSM Initiative, we have entered into a definitive agreement to acquire Vision Aerial and a definite agreement to acquire Special Project Delivery, Inc. (“SPD”),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sp_007"/>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settlement agreement and mutual release pursuant to which we issued 49,702 shares to Green Flash Media LLC and 21,565 shares to Wolff Moscaro LLP in connection with the settlement of litigation.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we issued 585,365 shares to Kips upon conversion of 1,000 shares of Series A 10% Convertible Preferred Stock at a conversion price of $2.05. On August 13, 2026, Kips converted 1,000 shares of Series A 10% Convertible Preferred Stock into 585,365 shares of Class A Common Stock at a conversion price of $2.05. The issuance of the shares of Class A Common Stock was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SPD for 4,800,000 shares of our Class A Common Stock. No shares will be issued unless and until our stockholders approve the issuance under Nasdaq Listing Rule 5635, and the closing is subject to that approval and other customary conditions.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16" w:name="it3_001"/>
      <w:bookmarkEnd w:id="16"/>
      <w:r>
        <w:rPr>
          <w:rFonts w:ascii="Times New Roman;Times;Serif" w:hAnsi="Times New Roman;Times;Serif"/>
          <w:b/>
          <w:i w:val="false"/>
          <w:caps w:val="false"/>
          <w:smallCaps w:val="false"/>
          <w:sz w:val="20"/>
        </w:rPr>
        <w:t>Item 3. Defaults Upon Senior Securities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7" w:name="it3_002"/>
      <w:bookmarkEnd w:id="17"/>
      <w:r>
        <w:rPr>
          <w:rFonts w:ascii="Times New Roman;Times;Serif" w:hAnsi="Times New Roman;Times;Serif"/>
          <w:b/>
          <w:i w:val="false"/>
          <w:caps w:val="false"/>
          <w:smallCaps w:val="false"/>
          <w:sz w:val="20"/>
        </w:rPr>
        <w:t>Item 4. Mine Safety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sp_010"/>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Entry into a Material Definitive Agreement with Special Project Delivery,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(the “Merger Agreement”) with Mobix Merger Sub XIV, Inc., a Delaware corporation and wholly owned subsidiary of the Company (“Merger Sub XIV”), Mobix Merger Sub XV, LLC, a Delaware limited liability company and wholly owned subsidiary of the Company (“Merger Sub XV”), SPD, and the stockholder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SPD by the Company through a series of mergers, pursuant to which Merger Sub XIV will merge with and into SPD, with SPD surviving as a wholly owned subsidiary of the Company, followed immediately by the merger of the surviving corporation with and into Merger Sub XV, with Merger Sub XV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the consideration payable to the stockholders of SPD will consist solely of shares of 4,800,000 shares of the Company’s Class A common stock, and no cash consideration will be payable. The consideration is fixed as of the closing, and is not subject to any post-closing purchase price adjustment or indemnification holdback. The issuance of the shares is subject to approval by the Company’s stockholders in accordance with the applicable listing rules of The Nasdaq Stock Market LLC, and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SPD, delivery of a tax opinion regarding the intended tax treatment of the Mergers, and the execution of employment agreements by specified individuals. The Merger Agreement may be terminated under specified circumstances, including by mutual consent, if the closing has not occurred by the outside date, upon an uncured breach by either party, or in connection with the exercise of the specified termination rights of the parties. No termination fee, break-up fee, or expense reimbursement is payable by any party in connection with a termination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not complete and is qualified in its entirety by reference to the full text of the Merger Agreement, a copy of which is filed as Exhibits 10.7 to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On August 13, 2026, Kips converted 1,000 shares of Series A 10% Convertible Preferred Stock into 585,365 shares of Class A Common Stock at a conversion price of $2.05 per share in accordance with the terms of the Certificate of Designation. The issuances of the shares of Class A Common Stock were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following directors of the Company adopted a “Rule 10b5-1 trading arrangement,” as that term is defined in Item 408(c) of Regulation S-K, each of which the applicable director represented was designed to satisfy the affirmative defense conditions of Rule 10b5-1(c)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9"/>
        <w:gridCol w:w="60"/>
        <w:gridCol w:w="1226"/>
        <w:gridCol w:w="60"/>
        <w:gridCol w:w="800"/>
        <w:gridCol w:w="60"/>
        <w:gridCol w:w="824"/>
        <w:gridCol w:w="60"/>
        <w:gridCol w:w="1683"/>
        <w:gridCol w:w="60"/>
        <w:gridCol w:w="237"/>
        <w:gridCol w:w="2751"/>
        <w:gridCol w:w="60"/>
        <w:gridCol w:w="60"/>
        <w:gridCol w:w="1115"/>
      </w:tblGrid>
      <w:tr>
        <w:trPr/>
        <w:tc>
          <w:tcPr>
            <w:tcW w:w="1149"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226" w:type="dxa"/>
            <w:tcBorders>
              <w:bottom w:val="single" w:sz="8" w:space="0" w:color="000000"/>
            </w:tcBorders>
            <w:vAlign w:val="center"/>
          </w:tcPr>
          <w:p>
            <w:pPr>
              <w:pStyle w:val="TableContents"/>
              <w:bidi w:val="0"/>
              <w:spacing w:before="0" w:after="283"/>
              <w:jc w:val="left"/>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left"/>
              <w:rPr>
                <w:b/>
                <w:sz w:val="20"/>
              </w:rPr>
            </w:pPr>
            <w:r>
              <w:rPr>
                <w:b/>
                <w:sz w:val="20"/>
              </w:rPr>
              <w:t>Action</w:t>
            </w:r>
          </w:p>
        </w:tc>
        <w:tc>
          <w:tcPr>
            <w:tcW w:w="60" w:type="dxa"/>
            <w:tcBorders/>
            <w:tcMar>
              <w:bottom w:w="0" w:type="dxa"/>
            </w:tcMar>
            <w:vAlign w:val="center"/>
          </w:tcPr>
          <w:p>
            <w:pPr>
              <w:pStyle w:val="TableContents"/>
              <w:bidi w:val="0"/>
              <w:spacing w:before="0" w:after="283"/>
              <w:jc w:val="left"/>
              <w:rPr/>
            </w:pPr>
            <w:r>
              <w:rPr/>
              <w:t> </w:t>
            </w:r>
          </w:p>
        </w:tc>
        <w:tc>
          <w:tcPr>
            <w:tcW w:w="824" w:type="dxa"/>
            <w:tcBorders>
              <w:bottom w:val="single" w:sz="8" w:space="0" w:color="000000"/>
            </w:tcBorders>
            <w:vAlign w:val="center"/>
          </w:tcPr>
          <w:p>
            <w:pPr>
              <w:pStyle w:val="TableContents"/>
              <w:bidi w:val="0"/>
              <w:spacing w:before="0" w:after="283"/>
              <w:jc w:val="left"/>
              <w:rPr>
                <w:b/>
                <w:sz w:val="20"/>
              </w:rPr>
            </w:pPr>
            <w:r>
              <w:rPr>
                <w:b/>
                <w:sz w:val="20"/>
              </w:rPr>
              <w:t>Date Adopted</w:t>
            </w:r>
          </w:p>
        </w:tc>
        <w:tc>
          <w:tcPr>
            <w:tcW w:w="60" w:type="dxa"/>
            <w:tcBorders/>
            <w:tcMar>
              <w:bottom w:w="0" w:type="dxa"/>
            </w:tcMar>
            <w:vAlign w:val="center"/>
          </w:tcPr>
          <w:p>
            <w:pPr>
              <w:pStyle w:val="TableContents"/>
              <w:bidi w:val="0"/>
              <w:spacing w:before="0" w:after="283"/>
              <w:jc w:val="left"/>
              <w:rPr/>
            </w:pPr>
            <w:r>
              <w:rPr/>
              <w:t> </w:t>
            </w:r>
          </w:p>
        </w:tc>
        <w:tc>
          <w:tcPr>
            <w:tcW w:w="1683" w:type="dxa"/>
            <w:tcBorders>
              <w:bottom w:val="single" w:sz="8" w:space="0" w:color="000000"/>
            </w:tcBorders>
            <w:vAlign w:val="center"/>
          </w:tcPr>
          <w:p>
            <w:pPr>
              <w:pStyle w:val="TableContents"/>
              <w:bidi w:val="0"/>
              <w:spacing w:before="0" w:after="283"/>
              <w:jc w:val="left"/>
              <w:rPr>
                <w:b/>
                <w:sz w:val="20"/>
              </w:rPr>
            </w:pPr>
            <w:r>
              <w:rPr>
                <w:b/>
                <w:sz w:val="20"/>
              </w:rPr>
              <w:t>Character of Trading Arrangement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988" w:type="dxa"/>
            <w:gridSpan w:val="2"/>
            <w:tcBorders>
              <w:bottom w:val="single" w:sz="8" w:space="0" w:color="000000"/>
            </w:tcBorders>
            <w:vAlign w:val="center"/>
          </w:tcPr>
          <w:p>
            <w:pPr>
              <w:pStyle w:val="TableContents"/>
              <w:bidi w:val="0"/>
              <w:spacing w:before="0" w:after="283"/>
              <w:jc w:val="left"/>
              <w:rPr>
                <w:b/>
                <w:sz w:val="20"/>
              </w:rPr>
            </w:pPr>
            <w:r>
              <w:rPr>
                <w:b/>
                <w:sz w:val="20"/>
              </w:rPr>
              <w:t>Aggregate Number of Shares of Common Stock to be Purchased or Sold Pursuant to a Trading Arrangement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left"/>
              <w:rPr>
                <w:b/>
                <w:sz w:val="20"/>
              </w:rPr>
            </w:pPr>
            <w:r>
              <w:rPr>
                <w:b/>
                <w:sz w:val="20"/>
              </w:rPr>
              <w:t>Expiration Date</w:t>
            </w:r>
            <w:r>
              <w:rPr>
                <w:b/>
                <w:position w:val="7"/>
                <w:sz w:val="16"/>
                <w:sz w:val="20"/>
              </w:rPr>
              <w:t>(2)</w:t>
            </w:r>
          </w:p>
        </w:tc>
      </w:tr>
      <w:tr>
        <w:trPr/>
        <w:tc>
          <w:tcPr>
            <w:tcW w:w="1149" w:type="dxa"/>
            <w:tcBorders/>
            <w:shd w:fill="CCEEFF" w:val="clear"/>
            <w:tcMar>
              <w:bottom w:w="0" w:type="dxa"/>
            </w:tcMar>
            <w:vAlign w:val="center"/>
          </w:tcPr>
          <w:p>
            <w:pPr>
              <w:pStyle w:val="TableContents"/>
              <w:bidi w:val="0"/>
              <w:spacing w:before="0" w:after="283"/>
              <w:jc w:val="left"/>
              <w:rPr>
                <w:b/>
                <w:sz w:val="20"/>
              </w:rPr>
            </w:pPr>
            <w:r>
              <w:rPr>
                <w:b/>
                <w:sz w:val="20"/>
              </w:rPr>
              <w:t>James J. Peterson</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6" w:type="dxa"/>
            <w:tcBorders/>
            <w:shd w:fill="CCEEFF" w:val="clear"/>
            <w:tcMar>
              <w:bottom w:w="0" w:type="dxa"/>
            </w:tcMar>
            <w:vAlign w:val="center"/>
          </w:tcPr>
          <w:p>
            <w:pPr>
              <w:pStyle w:val="TableContents"/>
              <w:bidi w:val="0"/>
              <w:spacing w:before="0" w:after="283"/>
              <w:jc w:val="both"/>
              <w:rPr>
                <w:sz w:val="20"/>
              </w:rPr>
            </w:pPr>
            <w:r>
              <w:rPr>
                <w:sz w:val="20"/>
              </w:rPr>
              <w:t>Chairman of the Board,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both"/>
              <w:rPr>
                <w:sz w:val="20"/>
              </w:rPr>
            </w:pPr>
            <w:r>
              <w:rPr>
                <w:sz w:val="20"/>
              </w:rPr>
              <w:t>6/10/2026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2751"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both"/>
              <w:rPr>
                <w:sz w:val="20"/>
              </w:rPr>
            </w:pPr>
            <w:r>
              <w:rPr>
                <w:sz w:val="20"/>
              </w:rPr>
              <w:t>12/31/2027</w:t>
            </w:r>
          </w:p>
        </w:tc>
      </w:tr>
      <w:tr>
        <w:trPr/>
        <w:tc>
          <w:tcPr>
            <w:tcW w:w="1149" w:type="dxa"/>
            <w:tcBorders/>
            <w:shd w:fill="FFFFFF" w:val="clear"/>
            <w:tcMar>
              <w:bottom w:w="0" w:type="dxa"/>
            </w:tcMar>
            <w:vAlign w:val="center"/>
          </w:tcPr>
          <w:p>
            <w:pPr>
              <w:pStyle w:val="TableContents"/>
              <w:bidi w:val="0"/>
              <w:spacing w:before="0" w:after="283"/>
              <w:jc w:val="left"/>
              <w:rPr>
                <w:b/>
                <w:sz w:val="20"/>
              </w:rPr>
            </w:pPr>
            <w:r>
              <w:rPr>
                <w:b/>
                <w:sz w:val="20"/>
              </w:rPr>
              <w:t>Frederick C. Goerner</w:t>
            </w:r>
            <w:r>
              <w:rPr>
                <w:b/>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both"/>
              <w:rPr>
                <w:sz w:val="20"/>
              </w:rPr>
            </w:pPr>
            <w:r>
              <w:rPr>
                <w:sz w:val="20"/>
              </w:rPr>
              <w:t>6/12/2026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2751" w:type="dxa"/>
            <w:tcBorders/>
            <w:shd w:fill="FFFF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both"/>
              <w:rPr>
                <w:sz w:val="20"/>
              </w:rPr>
            </w:pPr>
            <w:r>
              <w:rPr>
                <w:sz w:val="20"/>
              </w:rPr>
              <w:t>12/31/2027</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indicated by footnote, each trading arrangement marked as a “Rule 10b5-1 Trading Arrangement” is intended to satisfy the affirmative defense of Rule 10b5-1(c) of the Exchange Act, as amended (the Rule).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indicated by footnote, each trading arrangement permitted or permits transactions through and including the earlier to occur of (a) the date on which all trades under the arrangement have been executed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shares covered by this trading arrangement include certain shares that are held by trusts and may be deemed to be indirectly beneficially owned by James J. Peterson.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shares covered by this trading arrangement include certain shares that are held by trusts and may be deemed to be indirectly beneficially owned by Frederick C. Goerner.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sp_011"/>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60"/>
        <w:gridCol w:w="9361"/>
      </w:tblGrid>
      <w:tr>
        <w:trPr/>
        <w:tc>
          <w:tcPr>
            <w:tcW w:w="784"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1"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3">
              <w:r>
                <w:rPr>
                  <w:rStyle w:val="InternetLink"/>
                  <w:sz w:val="20"/>
                </w:rPr>
                <w:t>First Amendment to Securities Purchase Agreement and Senior Secured Convertible Promissory Note in favor of Leviston Resources, LLC dated as of May 13, 2026 (incorporated by reference to Exhibit 4.2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4">
              <w:r>
                <w:rPr>
                  <w:rStyle w:val="InternetLink"/>
                  <w:sz w:val="20"/>
                </w:rPr>
                <w:t>Preferred Stock Purchase Warrant, dated May 19, 2026, in favor of Kips Bay Select, LP (incorporated by reference to Exhibit 4.3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5">
              <w:r>
                <w:rPr>
                  <w:rStyle w:val="InternetLink"/>
                  <w:sz w:val="20"/>
                </w:rPr>
                <w:t>Certificate of Designation of Series A 10% Convertible Preferred Stock (incorporated by reference to Exhibit 4.20 to the Registrant’s Registration Statement on Form S-1 (File No. 333-296928) filed with the SEC on June 22,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6">
              <w:r>
                <w:rPr>
                  <w:rStyle w:val="InternetLink"/>
                  <w:sz w:val="20"/>
                </w:rPr>
                <w:t>Amended and Restated Senior Secured Convertible Promissory Note in favor of Leviston Resources, LLC dated as of June 22, 2026 (incorporated by reference to Exhibit 4.1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1">
              <w:r>
                <w:rPr>
                  <w:rStyle w:val="InternetLink"/>
                  <w:sz w:val="20"/>
                </w:rPr>
                <w:t>Agreement and Plan of Merger dated July 24, 2026 by and between Mobix Labs, Inc., Mobix Merger Sub X, Inc., Mobix Merger Sub XI, LLC, Vision Aerial,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7">
              <w:r>
                <w:rPr>
                  <w:rStyle w:val="InternetLink"/>
                  <w:sz w:val="20"/>
                </w:rPr>
                <w:t>Registration Rights Agreement by and between Mobix Labs, Inc and Leviston Resources, LLC, dated as of March 31, 2026 (incorporated by reference to Exhibit 10.58 to the Registrant’s Registration Statement on Form S-1 (File No. 333-295357), filed with the SEC on April 27,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8">
              <w:r>
                <w:rPr>
                  <w:rStyle w:val="InternetLink"/>
                  <w:sz w:val="20"/>
                </w:rPr>
                <w:t>Investor Rights Agreement by and between Mobix Labs, Inc. and Leviston Resources, LLC, dated as of May 13, 2026 (incorporated by reference to Exhibit 10.3 to the Company’s Quarterly Report on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9">
              <w:r>
                <w:rPr>
                  <w:rStyle w:val="InternetLink"/>
                  <w:sz w:val="20"/>
                </w:rPr>
                <w:t>Securities Purchase Agreement, dated May 19, 2026, by and between Mobix Labs, Inc. and Kips Bay Select, LP (incorporated by reference to Exhibit 10.4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10">
              <w:r>
                <w:rPr>
                  <w:rStyle w:val="InternetLink"/>
                  <w:sz w:val="20"/>
                </w:rPr>
                <w:t>Registration Rights Agreement, dated May 19, 2026 by and between Mobix Labs and Kips Bay Select, LP (incorporated by reference to Exhibit 10.5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11">
              <w:r>
                <w:rPr>
                  <w:rStyle w:val="InternetLink"/>
                  <w:sz w:val="20"/>
                </w:rPr>
                <w:t>Second Amendment to Registration Rights Agreement, by and between Mobix Labs, Inc. and Leviston Resources, LLC, dated as of June 22, 2026 (incorporated by reference to Exhibit 10.1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2">
              <w:r>
                <w:rPr>
                  <w:rStyle w:val="InternetLink"/>
                  <w:rFonts w:ascii="Times New Roman;Times;Serif" w:hAnsi="Times New Roman;Times;Serif"/>
                  <w:sz w:val="20"/>
                </w:rPr>
                <w:t>Agreement and Plan of Merger dated August 13, 2026 by and between Mobix Labs, Inc., Mobix Merger Sub XIV, Inc., Mobix Merger Sub XV, LLC, Special Project Delivery,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3">
              <w:r>
                <w:rPr>
                  <w:rStyle w:val="InternetLink"/>
                  <w:sz w:val="20"/>
                </w:rPr>
                <w:t>Certification of Principal Executive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4">
              <w:r>
                <w:rPr>
                  <w:rStyle w:val="InternetLink"/>
                  <w:sz w:val="20"/>
                </w:rPr>
                <w:t>Certification of Principal Financial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5">
              <w:r>
                <w:rPr>
                  <w:rStyle w:val="InternetLink"/>
                  <w:sz w:val="20"/>
                </w:rPr>
                <w:t>Certification of Principal Executive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6">
              <w:r>
                <w:rPr>
                  <w:rStyle w:val="InternetLink"/>
                  <w:sz w:val="20"/>
                </w:rPr>
                <w:t>Certification of Principal Financial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 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Instance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Calculation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Definition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Presentation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 xml:space="preserve">Cover Page Interactive Data File (formatted as Inline XBRL and contained in Exhibit 101).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confidential portions (indicated by brackets and asterisks) of this exhibit have been omitted from this exhibit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p_012"/>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Exchange Act of 1934,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865"/>
        <w:gridCol w:w="36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Duly Authorized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jz_001"/>
      <w:bookmarkEnd w:id="21"/>
      <w:r>
        <w:rPr>
          <w:rFonts w:ascii="Times New Roman;Times;Serif" w:hAnsi="Times New Roman;Times;Serif"/>
          <w:b/>
          <w:i w:val="false"/>
          <w:caps w:val="false"/>
          <w:smallCaps w:val="false"/>
          <w:sz w:val="20"/>
        </w:rPr>
        <w:t>Exhibit 10.1</w:t>
      </w:r>
    </w:p>
    <w:p>
      <w:pPr>
        <w:pStyle w:val="TextBody"/>
        <w:bidi w:val="0"/>
        <w:spacing w:before="0" w:after="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____________________________</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 LLC,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Vision Aerial,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Shareholder Representative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July 24, 2026</w:t>
      </w:r>
    </w:p>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75"/>
        <w:gridCol w:w="1085"/>
        <w:gridCol w:w="7160"/>
        <w:gridCol w:w="515"/>
      </w:tblGrid>
      <w:tr>
        <w:trPr/>
        <w:tc>
          <w:tcPr>
            <w:tcW w:w="832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Page</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Entity.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Shareholder.</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Adjustment.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Subsidiaries.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Tangible Personal Property and Assets.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Supply-Chain Compliance.</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283"/>
        <w:jc w:val="left"/>
        <w:rPr/>
      </w:pPr>
      <w: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283"/>
        <w:jc w:val="left"/>
        <w:rPr/>
      </w:pPr>
      <w:r>
        <w:rPr/>
        <w:t> </w:t>
      </w:r>
    </w:p>
    <w:tbl>
      <w:tblPr>
        <w:tblW w:w="9608" w:type="dxa"/>
        <w:jc w:val="left"/>
        <w:tblInd w:w="0" w:type="dxa"/>
        <w:tblLayout w:type="fixed"/>
        <w:tblCellMar>
          <w:top w:w="0" w:type="dxa"/>
          <w:left w:w="0" w:type="dxa"/>
          <w:bottom w:w="0" w:type="dxa"/>
          <w:right w:w="0" w:type="dxa"/>
        </w:tblCellMar>
      </w:tblPr>
      <w:tblGrid>
        <w:gridCol w:w="93"/>
        <w:gridCol w:w="1359"/>
        <w:gridCol w:w="7581"/>
        <w:gridCol w:w="575"/>
      </w:tblGrid>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3.28.</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3.29.</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3.30.</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MERGER SUB X AND MERGER SUB XI</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9033"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 of Rollover Shares.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the Mergers.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Non-Solicitation; Confidentiality.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 of the Company and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rFonts w:ascii="Times New Roman;Times;Serif" w:hAnsi="Times New Roman;Times;Serif"/>
          <w:b/>
          <w:i w:val="false"/>
          <w:smallCaps/>
          <w:sz w:val="20"/>
        </w:rPr>
        <w:t>Table of Contents</w:t>
      </w:r>
      <w:r>
        <w:rPr/>
        <w:t xml:space="preserve"> </w:t>
      </w:r>
    </w:p>
    <w:p>
      <w:pPr>
        <w:pStyle w:val="TextBody"/>
        <w:bidi w:val="0"/>
        <w:spacing w:before="0" w:after="283"/>
        <w:jc w:val="left"/>
        <w:rPr/>
      </w:pPr>
      <w:r>
        <w:rPr/>
        <w:t> </w:t>
      </w:r>
    </w:p>
    <w:tbl>
      <w:tblPr>
        <w:tblW w:w="5514" w:type="dxa"/>
        <w:jc w:val="left"/>
        <w:tblInd w:w="0" w:type="dxa"/>
        <w:tblLayout w:type="fixed"/>
        <w:tblCellMar>
          <w:top w:w="0" w:type="dxa"/>
          <w:left w:w="0" w:type="dxa"/>
          <w:bottom w:w="0" w:type="dxa"/>
          <w:right w:w="0" w:type="dxa"/>
        </w:tblCellMar>
      </w:tblPr>
      <w:tblGrid>
        <w:gridCol w:w="97"/>
        <w:gridCol w:w="1414"/>
        <w:gridCol w:w="3428"/>
        <w:gridCol w:w="575"/>
      </w:tblGrid>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 for Notices.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Cross-Reference Table.</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OF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Schedules are referenced in this Agreement and, together, constitute the Company Disclosure Letter to be delivered pursuant to Section 5.10. This index is provided for convenience of reference only and does not modify the Agreement or the Disclosure Schedules.</w:t>
      </w:r>
    </w:p>
    <w:p>
      <w:pPr>
        <w:pStyle w:val="TextBody"/>
        <w:bidi w:val="0"/>
        <w:spacing w:before="0" w:after="0"/>
        <w:ind w:left="0" w:right="0" w:hanging="0"/>
        <w:jc w:val="both"/>
        <w:rPr>
          <w:caps w:val="false"/>
          <w:smallCaps w:val="false"/>
        </w:rPr>
      </w:pPr>
      <w:r>
        <w:rPr>
          <w:caps w:val="false"/>
          <w:smallCaps w:val="false"/>
        </w:rPr>
        <w:t> </w:t>
      </w:r>
    </w:p>
    <w:tbl>
      <w:tblPr>
        <w:tblW w:w="4525" w:type="dxa"/>
        <w:jc w:val="center"/>
        <w:tblInd w:w="0" w:type="dxa"/>
        <w:tblLayout w:type="fixed"/>
        <w:tblCellMar>
          <w:top w:w="0" w:type="dxa"/>
          <w:left w:w="0" w:type="dxa"/>
          <w:bottom w:w="0" w:type="dxa"/>
          <w:right w:w="0" w:type="dxa"/>
        </w:tblCellMar>
      </w:tblPr>
      <w:tblGrid>
        <w:gridCol w:w="785"/>
        <w:gridCol w:w="60"/>
        <w:gridCol w:w="3680"/>
      </w:tblGrid>
      <w:tr>
        <w:trPr/>
        <w:tc>
          <w:tcPr>
            <w:tcW w:w="7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Matter</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 Chain Compliance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Indemnification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7.2(g) is to be prepared by Parent and delivered to the Company and the Shareholder Representative within ten (10) days after receipt of the final Disclosure Schedules (Section 7.2(g)).</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the 24</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 Inc., a Delaware corporation and a wholly owned Subsidiary of Parent (“</w:t>
      </w:r>
      <w:r>
        <w:rPr>
          <w:rFonts w:ascii="Times New Roman;Times;Serif" w:hAnsi="Times New Roman;Times;Serif"/>
          <w:b/>
          <w:i/>
          <w:caps w:val="false"/>
          <w:smallCaps w:val="false"/>
          <w:sz w:val="20"/>
        </w:rPr>
        <w:t>Merger Sub X</w:t>
      </w:r>
      <w:r>
        <w:rPr>
          <w:rFonts w:ascii="Times New Roman;Times;Serif" w:hAnsi="Times New Roman;Times;Serif"/>
          <w:b w:val="false"/>
          <w:i w:val="false"/>
          <w:caps w:val="false"/>
          <w:smallCaps w:val="false"/>
          <w:sz w:val="20"/>
        </w:rPr>
        <w:t>”); (iii) Mobix Merger Sub XI, LLC, a Delaware limited liability company and a wholly owned Subsidiary of Parent (“</w:t>
      </w:r>
      <w:r>
        <w:rPr>
          <w:rFonts w:ascii="Times New Roman;Times;Serif" w:hAnsi="Times New Roman;Times;Serif"/>
          <w:b/>
          <w:i/>
          <w:caps w:val="false"/>
          <w:smallCaps w:val="false"/>
          <w:sz w:val="20"/>
        </w:rPr>
        <w:t>Merger Sub XI</w:t>
      </w:r>
      <w:r>
        <w:rPr>
          <w:rFonts w:ascii="Times New Roman;Times;Serif" w:hAnsi="Times New Roman;Times;Serif"/>
          <w:b w:val="false"/>
          <w:i w:val="false"/>
          <w:caps w:val="false"/>
          <w:smallCaps w:val="false"/>
          <w:sz w:val="20"/>
        </w:rPr>
        <w:t>”); (iv) Vision Aerial,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and (v) </w:t>
      </w:r>
      <w:r>
        <w:rPr>
          <w:rFonts w:ascii="Times New Roman;Times;Serif" w:hAnsi="Times New Roman;Times;Serif"/>
          <w:b w:val="false"/>
          <w:i w:val="false"/>
          <w:caps w:val="false"/>
          <w:smallCaps w:val="false"/>
          <w:sz w:val="20"/>
          <w:shd w:fill="FFFFFF" w:val="clear"/>
        </w:rPr>
        <w:t>James Ness</w:t>
      </w:r>
      <w:r>
        <w:rPr>
          <w:rFonts w:ascii="Times New Roman;Times;Serif" w:hAnsi="Times New Roman;Times;Serif"/>
          <w:b w:val="false"/>
          <w:i w:val="false"/>
          <w:caps w:val="false"/>
          <w:smallCaps w:val="false"/>
          <w:sz w:val="20"/>
        </w:rPr>
        <w:t xml:space="preserve"> solely in his capacity of Shareholder Representative (the “</w:t>
      </w:r>
      <w:r>
        <w:rPr>
          <w:rFonts w:ascii="Times New Roman;Times;Serif" w:hAnsi="Times New Roman;Times;Serif"/>
          <w:b/>
          <w:i/>
          <w:caps w:val="false"/>
          <w:smallCaps w:val="false"/>
          <w:sz w:val="20"/>
        </w:rPr>
        <w:t>Shareholder Representative</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If either of Merger Sub X or Merger Sub XI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or indirect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“Merger Sub X” or “Merger Sub XI,”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“Merger Sub X” or “Merger Sub XI,”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Delaware General Corporation Law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Parent, Merger Sub X, Merger Sub XI and the Company intend to enter into a business combination transaction by which: (a) Merger Sub X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with the Company being the surviving corporation of the First Merger (the Company, in its capacity as the surviving corporation of the First Merger, is sometimes referred to as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overall transaction as the First Merger, the Surviving Corporation will merge with and into Merger Sub XI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with Merger Sub XI being the surviving company of the Second Merger (Merger Sub XI, in its capacity as the surviving company of the Second Merger, is sometimes referred to as the “</w:t>
      </w:r>
      <w:r>
        <w:rPr>
          <w:rFonts w:ascii="Times New Roman;Times;Serif" w:hAnsi="Times New Roman;Times;Serif"/>
          <w:b/>
          <w:i/>
          <w:caps w:val="false"/>
          <w:smallCaps w:val="false"/>
          <w:sz w:val="20"/>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in the best interests of the Company and its shareholders (the “</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(ii) approved and declared advisable, in accordance with the applicable provisions of the DGCL, this Agreement and the transactions contemplated hereby, including the Mergers, and (iii) resolved to recommend adoption of this Agreement by the Shareholders;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each of the board of directors of Merger Sub X and the manager of Merger Sub XI has unanimously approved and declared advisable this Agreement and the transactions contemplated hereby, including the Mergers, and the execution and delivery of this Agreement by Parent and the consummation by Parent of the transactions contemplated hereby have been approved by the board of directors of Parent, which has resolved to recommend adoption of this Agreement by its stockholders, subject only to, if required by applicable Law or the rules of The Nasdaq Stock Market LLC, the approval of the stockholders of Parent; and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Laws that follows the U.S. federal income Tax treatment), each of the parties hereto intends that the First Merger and the Second Merger, taken together, will constitute an integrated transaction that qualifies as a “reorganization” within the meaning of Section 368(a) of the Code (and any comparable provision of state or local Tax Laws), and that this Agreement be, and hereby is, adopted as a “plan of reorganization” for the purposes of Section 368 of the Code and Treasury Regulations Section 1.368-2(g)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Parent, Merger Sub X, Merger Sub XI, the Company and the Shareholders desire to make certain representations, warranties, covenants and agreements in connection with the Mergers and to prescribe various conditions to the Mergers.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promises and the mutual representations, warranties, covenants, and agreements contained in this Agreement, as well as other good and valuable consideration, the receipt and sufficiency of which are hereby acknowledged, and intending to be legally bound hereby, the parties hereby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and in accordance with the DGCL, at the Effective Time, Merger Sub X shall be merged with and into the Company as a 368 Transaction, the separate corporate existence of Merger Sub X shall thereupon cease, and the Company shall continue as the Surviving Corporation in the First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and in accordance with the DGCL and the DLLCA, at the Second Effective Time, the Surviving Corporation shall be merged with and into Merger Sub XI as a 368 Transaction, the separate corporate existence of the Surviving Corporation shall thereupon cease, and Merger Sub XI shall continue as the Surviving Entity in the Second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at the offices of Greenberg Traurig, LLP, 18565 Jamboree Road, Suite 500, Irvine, California 92612, at 10:00 a.m., Pacific Standard Time,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(other than those conditions that by their nature are to be satisfied at the Closing, but subject to the satisfaction or waiver of those conditions at such time), unless another time, date or place is agreed to in writing by Parent and the Company, provided that the Closing shall not occur after September 3, 2026 without the prior written consent of Parent and the Company. By agreement of Parent and the Company, the Closing may take place by delivery of the documents to be delivered at the Closing by electronic mail or other electronic transmission. All deliveries by one party to any other party or parties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certificates of merger with respect to the First Merger (the “</w:t>
      </w:r>
      <w:r>
        <w:rPr>
          <w:rFonts w:ascii="Times New Roman;Times;Serif" w:hAnsi="Times New Roman;Times;Serif"/>
          <w:b/>
          <w:i/>
          <w:caps w:val="false"/>
          <w:smallCaps w:val="false"/>
          <w:sz w:val="20"/>
        </w:rPr>
        <w:t>First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Certificates of Merger have each been duly filed with the Secretary of State of the State of Delaware or at such later date or time as may be agreed by Parent and the Company in writing and specified in the First Certificates of Merger (the time the First Merger becomes effective being referred to in this Agreement as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case on the same day as the Effective Time, the parties shall (i) cause certificates of merger with respect to the Second Merger (the “</w:t>
      </w:r>
      <w:r>
        <w:rPr>
          <w:rFonts w:ascii="Times New Roman;Times;Serif" w:hAnsi="Times New Roman;Times;Serif"/>
          <w:b/>
          <w:i/>
          <w:caps w:val="false"/>
          <w:smallCaps w:val="false"/>
          <w:sz w:val="20"/>
        </w:rPr>
        <w:t>Second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as a 368 Transaction at the time when the Second Certificates of Merger have each been duly filed with the Secretary of State of the State of Delaware or at such later date or time as may be agreed by Parent and the Company in writing and specified in the Second Certificates of Merger (the time the Second Merger becomes effective being referred to in this Agreement as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Merger Sub X shall vest in the Surviving Corporation, and all debts, liabilities and duties of the Company and Merger Sub X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Merger Sub XI shall vest in the Surviving Entity, and all debts, liabilities and duties of the Surviving Corporation and Merger Sub XI shall become the debts, liabilities and duties of the Surviving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certificate of incorporation and bylaws of the Company as in effect immediately prior to the Effective Time shall be the certificate of incorporation and bylaws of the Surviving Corporation until thereafter amended as provided therein or by applicable Law. At the Second Effective Time, the certificate of formation and limited liability company agreement of Merger Sub XI as in effect immediately prior to the Second Effective Time shall be the certificate of formation and limited liability company agreement of the Surviving Entity until thereafter amended as provided therein or by applicable Law, except that the name of the Surviving Entity will be “Vision Aerial,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Merger Sub X immediately prior to the Effective Time shall be, from and after the Effective Time, the directors and officers of the Surviving Corporation, to hold office in accordance with the articles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and officers of Merger Sub XI immediately prior to the Second Effective Time shall be, from and after the Second Effective Time, the managers and officers of the Surviving Entity, to hold office in accordance with the certificate of formation and limited liability company agreement of the Surviving Entity until their respective successors are duly elected or appointed and qualified or until the earlier of their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the Company and the Shareholders (as applicable) shall deliver or cause to be delivered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good standing (or its equivalent) of the Company from its jurisdiction of incorporation and in each other jurisdiction in which the Company is qualified, licensed or authorized to do business as a foreign corporation,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certified copy of the certificate of incorporation of the Company from its jurisdiction of incorporation,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certificate of the Secretary of the Company, in his or her capacity as such,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resolutions of the Shareholders approving the Mergers and adopting this Agreement, and (iii) all such resolutions in clause (ii)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 certificate, dated as of the Closing Date, executed by a duly authorized officer of the Company, certifying that the Company is not, and has not been at any time during the five (5) years preceding the date of such statement, a “United States real property holding corporation,” as defined in Section 897(c)(2) of the Code, such statement in form and substance reasonably satisfactory to Parent and conforming to the requirements of Treasury Regulations Section 1.1445-2(c)(3) and 1.897-2(h), and a notice of such statement to be delivered by Parent to the IRS on behalf of the Company in accordance with the provisions of Treasury Regulations Section 1.897-2(h)(2), and (ii) an IRS Form W-9 from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employment agreement, in form and substance reasonably acceptable to Parent and each of Shane Beams and Shawn Roberts (an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duly executed by each of them, which shall provide for a three (3) year term of employment and grants of equity incentive awards (including restricted stock units) to be determined by the board of directors of Parent;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Parent stockholders’ agreement, in form and substance reasonably acceptable to Parent and the Shareholder Representative (the “</w:t>
      </w:r>
      <w:r>
        <w:rPr>
          <w:rFonts w:ascii="Times New Roman;Times;Serif" w:hAnsi="Times New Roman;Times;Serif"/>
          <w:b/>
          <w:i/>
          <w:caps w:val="false"/>
          <w:smallCaps w:val="false"/>
          <w:sz w:val="20"/>
        </w:rPr>
        <w:t>Parent Stockholder Agreement</w:t>
      </w:r>
      <w:r>
        <w:rPr>
          <w:rFonts w:ascii="Times New Roman;Times;Serif" w:hAnsi="Times New Roman;Times;Serif"/>
          <w:b w:val="false"/>
          <w:i w:val="false"/>
          <w:caps w:val="false"/>
          <w:smallCaps w:val="false"/>
          <w:sz w:val="20"/>
        </w:rPr>
        <w:t>”), duly executed by the Shareholders which shall, among other things, provide demand registration rights to the Shareholders in the event that one (1) year after the issuance of the “Rollover Shares” (defined below), the Shareholders are deemed to be “affiliates” under Rule 144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executed and delivered by an executive officer of the Company,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First Certificates of Merger, duly executed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to which the Company is subject;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written resignation and release from each of the officers and directors of the Company (other than Shane Beams and Shawn Roberts),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duly executed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letter of transmittal, in form and substance reasonably acceptable to Parent and the Shareholder Representative, duly executed by the Shareholders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option termination agreements, in form and substance reasonably acceptable to Parent and the Shareholder Representative, duly executed by the optionees of the Company (the “</w:t>
      </w:r>
      <w:r>
        <w:rPr>
          <w:rFonts w:ascii="Times New Roman;Times;Serif" w:hAnsi="Times New Roman;Times;Serif"/>
          <w:b/>
          <w:i/>
          <w:caps w:val="false"/>
          <w:smallCaps w:val="false"/>
          <w:sz w:val="20"/>
        </w:rPr>
        <w:t>Option Termination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Parent shall deliver or cause to be delivered to the Company and/or the Shareholders or Company option holders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Parent, Merger Sub X and Merger Sub XI, as applicable, in his or her capacity as such, dated as of the Closing Date, certifying that attached thereto are correct and complete copies of all resolutions adopted by the board of directors of Parent and Merger Sub X and the managers of Merger Sub XI authorizing the execution, delivery and performance of this Agreement and the Ancillary Agreements and the consummation of the transactions contemplated hereby and thereby, including the Mergers, and that all such resolutions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Merger Sub X and Merger Sub XI,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Second Certificates of Merger,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Employment Agreements,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Stockholder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Option Termination Agreements, duly executed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Effective Time or the Second Effective Time, the Surviving Corporation or the Surviving Entity shall consider or be advised that any deeds, bills of sale, assignments, assurances or any other actions or things are reasonably necessary or desirable to vest, perfect or confirm of record or otherwise in the Surviving Corporation or the Surviving Entity its right, title or interest in, to or under any of the rights, properties or assets of the Company, Merger Sub X or Merger Sub XI or otherwise to carry out the purposes of this Agreement, the officers of the Surviving Corporation or the Surviving Entity, as applicable, shall be authorized to execute and deliver, in the name and on behalf of the Company, Merger Sub X or Merger Sub XI, all such deeds, bills of sale, assignments and assurances and to take and do, in the name and on behalf of the Company, Merger Sub X or Merger Sub XI, all such other actions and things as may be reasonably necessary or desirable to vest, perfect or confirm any and all right, title, and interest in, to, and under such rights, properties or assets in the Surviving Corporation or the Surviving Entity, as applicable, or otherwise to carry out the purposes of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effect of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First Merger and without any action on the part of Parent, Merger Sub X, Merger Sub XI, the Company or any Shareholder or option holder of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Cancellation of Common Stock</w:t>
      </w:r>
      <w:r>
        <w:rPr>
          <w:rFonts w:ascii="Times New Roman;Times;Serif" w:hAnsi="Times New Roman;Times;Serif"/>
          <w:b w:val="false"/>
          <w:i w:val="false"/>
          <w:caps w:val="false"/>
          <w:smallCaps w:val="false"/>
          <w:sz w:val="20"/>
        </w:rPr>
        <w:t>. Each share of Common Stock that is owned by the Company (as treasury stock or otherwise) or by any direct or indirect wholly-owned Subsidiary of the Company immediately prior to the Effective Time shall be automatically cancelled and retired and shall cease to exist, and no consideration shall be delivered in exchange therefor. Any option to purchase shares of Common Stock that is not exercised in full prior to the Closing shall, as of the Effective Time, be cancelled and terminated without exercise pursuant to the applicable Option Termination Agreement, and such holder shall be entitled only to such consideration, if any, as provided therein.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Conversion of Common Stock</w:t>
      </w:r>
      <w:r>
        <w:rPr>
          <w:rFonts w:ascii="Times New Roman;Times;Serif" w:hAnsi="Times New Roman;Times;Serif"/>
          <w:b w:val="false"/>
          <w:i w:val="false"/>
          <w:caps w:val="false"/>
          <w:smallCaps w:val="false"/>
          <w:sz w:val="20"/>
        </w:rPr>
        <w:t xml:space="preserve">. The shares of Common Stock issued and outstanding immediately prior to the Effective Time (other than shares of Common Stock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shall be automatically cancelled and retired and shall cease to exist or be outstanding, and shall be automatically converted, by virtue of the First Merger and without any action on the part of the holders thereof, into the right to receive, without interest, with respect to each such share, such share’s pro rata portion (based on the total number of shares of Common Stock outstanding immediately prior to the Effective Time, excluding shares cancelled pursuant to Section 2.1(a)(i)) of (A) a number of shares of Parent Common Stock equal to the Rollover Share Amount divided by the Rollover Share Price, rounded up to the nearest whole share (the “</w:t>
      </w:r>
      <w:r>
        <w:rPr>
          <w:rFonts w:ascii="Times New Roman;Times;Serif" w:hAnsi="Times New Roman;Times;Serif"/>
          <w:b/>
          <w:i/>
          <w:caps w:val="false"/>
          <w:smallCaps w:val="false"/>
          <w:sz w:val="20"/>
        </w:rPr>
        <w:t>Rollover Shares</w:t>
      </w:r>
      <w:r>
        <w:rPr>
          <w:rFonts w:ascii="Times New Roman;Times;Serif" w:hAnsi="Times New Roman;Times;Serif"/>
          <w:b w:val="false"/>
          <w:i w:val="false"/>
          <w:caps w:val="false"/>
          <w:smallCaps w:val="false"/>
          <w:sz w:val="20"/>
        </w:rPr>
        <w:t xml:space="preserve">”); and (B) cash, payable in the manner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in an amount equal to $3,000,000.00 (the “</w:t>
      </w:r>
      <w:r>
        <w:rPr>
          <w:rFonts w:ascii="Times New Roman;Times;Serif" w:hAnsi="Times New Roman;Times;Serif"/>
          <w:b/>
          <w:i/>
          <w:caps w:val="false"/>
          <w:smallCaps w:val="false"/>
          <w:sz w:val="20"/>
        </w:rPr>
        <w:t>Cash Merger Consideration</w:t>
      </w:r>
      <w:r>
        <w:rPr>
          <w:rFonts w:ascii="Times New Roman;Times;Serif" w:hAnsi="Times New Roman;Times;Serif"/>
          <w:b w:val="false"/>
          <w:i w:val="false"/>
          <w:caps w:val="false"/>
          <w:smallCaps w:val="false"/>
          <w:sz w:val="20"/>
        </w:rPr>
        <w:t>” and, together with the Rollover Shares, the “</w:t>
      </w:r>
      <w:r>
        <w:rPr>
          <w:rFonts w:ascii="Times New Roman;Times;Serif" w:hAnsi="Times New Roman;Times;Serif"/>
          <w:b/>
          <w:i/>
          <w:caps w:val="false"/>
          <w:smallCaps w:val="false"/>
          <w:sz w:val="20"/>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Merger and without any action on the part of Parent, Merger Sub X, Merger Sub XI, the Company or either Shareholder,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Merger Sub XI outstanding immediately prior to the Second Effective Time shall be converted into and become the membership interests of the Surviving Entity, which shall constitute all of the outstanding equity of the Surviving Entity. From and after the Second Effective Time, the membership interests of Merger Sub XI shall be deemed for all purposes to represent the number of membership interests into which they were converted in accordance with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Payment of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or cause to be issued to the Shareholders the Rollover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Parent shall pay or cause to be paid to the account or accounts of the Shareholders the Cash Merger Consideration in an amount equal to $3,000,000.00 (less the Representative Reserve),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Parent shall pay or cause to be paid to the Reserve Account, an amount equal to the Reserve Amount,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Shareholders agree that any claims for indemnification that have been fully and finally adjudicated, if any,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may be satisfied by deducting and otherwise offsetting such claims against the amounts otherwise payable by Parent to the Shareholders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Parent agrees to provide to the Shareholder Representative a full accounting of all deductions or offsets, if any, contemporaneously with the payment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furtherance of Section 2.2(a), no later than three (3) Business Days following the Closing, Parent shall deliver, or cause to be delivered, irrevocable written instructions to its transfer agent directing the issuance of the Rollover Shares to the Shareholders in book-entry form (or, if applicable, in certificated form) registered in the name of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use commercially reasonable efforts to file with the Securities and Exchange Commission, no later than thirty (30) days following the Closing, a registration statement registering the resale of the Rollover Shares, and to use commercially reasonable efforts to cause such registration statement to be declared effective as promptly as practicable thereafter; provided, that if the audited financial statements of the Company required under Rule 3-05 of Regulation S-X are not available as of such date despite Parent’s use of commercially reasonable efforts, such filing deadline shall be extended to the date that is ten (10) Business Days following the date on which such audited financial statements first become available.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Parent shall not be required to issue any shares of Parent Common Stock to the extent such issuance would require the approval of the stockholders of Parent under the applicable rules of The Nasdaq Stock Market LLC, including Nasdaq Listing Rule 5635, unless such approval has been obtained prior to such issuance. If Parent determines in good faith that the issuance of all or any portion of the Rollover Shares would require such stockholder approval or otherwise would not be permitted under the applicable rules of The Nasdaq Stock Market LLC, then, to the extent necessary to comply with such rules, Parent shall, in consultation with the Shareholder Representative, (i) defer the issuance of such Rollover Shares until such time as the issuance thereof is permitted under the applicable rules of The Nasdaq Stock Market LLC, including following receipt of any required stockholder approval, or (ii) with the prior written consent of the Shareholder Representative, pay to the Shareholders an amount in cash equal to the value of the Rollover Shares that are not issued, with such value determined based on the greater of: (a) the Nasdaq Minimum Price as of the Closing Date or (b) the Nasdaq Minimum Price as of the date the Rollover Shares are issued to the Shareholders. For the avoidance of doubt, Parent shall have no obligation to issue any shares of Parent Common Stock in violation of the applicable rules of The Nasdaq Stock Market LLC or applicable Law. Parent shall use commercially reasonable efforts to obtain any required stockholder approval as promptly as practicable but in no event more than thirty (30) days following the Closing. Promptly (and in any event within five (5) Business Days) following the date on which any such deferred issuance becomes permitted under the applicable rules of The Nasdaq Stock Market LLC (including upon receipt of any required stockholder approval), Parent shall issue such Rollover Shares to the Shareholders in book-entry form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Transfer of Books; No Further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 all shares of Common Stock outstanding immediately prior to the Effective Time shall be automatically cancelled and retired and shall cease to exist, and all holders of stock certificates representing shares of Common Stock that were outstanding immediately prior to the Effective Time (“</w:t>
      </w:r>
      <w:r>
        <w:rPr>
          <w:rFonts w:ascii="Times New Roman;Times;Serif" w:hAnsi="Times New Roman;Times;Serif"/>
          <w:b/>
          <w:i/>
          <w:caps w:val="false"/>
          <w:smallCaps w:val="false"/>
          <w:sz w:val="20"/>
        </w:rPr>
        <w:t>Stock Certificates</w:t>
      </w:r>
      <w:r>
        <w:rPr>
          <w:rFonts w:ascii="Times New Roman;Times;Serif" w:hAnsi="Times New Roman;Times;Serif"/>
          <w:b w:val="false"/>
          <w:i w:val="false"/>
          <w:caps w:val="false"/>
          <w:smallCaps w:val="false"/>
          <w:sz w:val="20"/>
        </w:rPr>
        <w:t xml:space="preserve">”) (it being understood that, for purposes of this Agreement, if a Stock Certificate is held in electronic form, then surrender of such Stock Certificate shall be effected by cancellation of such Stock Certificate on the electronic platform holding such Stock Certificate) shall cease to have any rights as shareholder of the Company, and each Stock Certificate shall thereafter represent the right to receive, on the terms and subject to the conditions set forth in this Agreement, the Merger Consideration payable with respect to such shares of Common Stock, without interest, upon the surrender of such Stock Certificate in accordance with the terms hereof and in the manner provided herein; and (b) the stock transfer books of the Company shall be closed with respect to all shares of Common Stock outstanding immediately prior to the Effective Time. No further transfer of any such shares of Common Stock shall be made on such stock transfer books after the Effective Time. If, after the Effective Time, a Stock Certificate is presented to the Surviving Corporation, the Surviving Entity or Parent, such Stock Certificate shall be cancelled and exchanged as provided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the Surviving Corporation, the Surviving Entity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state, local or foreign Tax or other applicable Law. To the extent that amounts are so deducted or withheld and paid to the appropriate Governmental Authority, such amounts shall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Purchase Price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Not less than three (3) Business Days prior to the Closing Date, the Company shall deliver to Parent a statement (the “</w:t>
      </w:r>
      <w:r>
        <w:rPr>
          <w:rFonts w:ascii="Times New Roman;Times;Serif" w:hAnsi="Times New Roman;Times;Serif"/>
          <w:b/>
          <w:i/>
          <w:caps w:val="false"/>
          <w:smallCaps w:val="false"/>
          <w:sz w:val="20"/>
        </w:rPr>
        <w:t>Estimated Closing Statement</w:t>
      </w:r>
      <w:r>
        <w:rPr>
          <w:rFonts w:ascii="Times New Roman;Times;Serif" w:hAnsi="Times New Roman;Times;Serif"/>
          <w:b w:val="false"/>
          <w:i w:val="false"/>
          <w:caps w:val="false"/>
          <w:smallCaps w:val="false"/>
          <w:sz w:val="20"/>
        </w:rPr>
        <w:t>”) setting forth the Company’s good-faith estimate, together with reasonable supporting detail, of (i) Closing Cash, (ii) Closing Indebtedness, (iii) Closing Net Working Capital, (iv) the amount, if any, by which Closing Net Working Capital is less than the Target Net Working Capital, (v) the amount, if any, by which Closing Net Working Capital is greater than the Target Net Working Capital, (vi) Unpaid Transaction Expenses, (vii) Indemnified Taxes, and (viii) Closing Related Party Amounts. The Estimated Closing Statement shall be prepared in accordance with GAAP applied consistently with the Company Financial Statements and the Company’s past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Adjustment</w:t>
      </w:r>
      <w:r>
        <w:rPr>
          <w:rFonts w:ascii="Times New Roman;Times;Serif" w:hAnsi="Times New Roman;Times;Serif"/>
          <w:b w:val="false"/>
          <w:i w:val="false"/>
          <w:caps w:val="false"/>
          <w:smallCaps w:val="false"/>
          <w:sz w:val="20"/>
        </w:rPr>
        <w:t>. The Merger Consideration shall be adjusted at Closing as follows: (i) increased dollar-for-dollar by the amount, if any, by which Closing Net Working Capital exceeds the Target Net Working Capital; (ii) decreased dollar-for-dollar by the amount, if any, by which Closing Net Working Capital is less than the Target Net Working Capital; (iii) increased dollar-for-dollar by Closing Cash; (iv) decreased dollar-for-dollar by Closing Indebtedness; (v) decreased dollar-for-dollar by Unpaid Transaction Expenses; (vi) decreased dollar-for-dollar by Indemnified Taxes; and (vii) decreased dollar-for-dollar by Closing Related Party Amounts. Parent may satisfy any downward adjustment by reducing the Cash Merger Consideration, reducing the number of Rollover Shares based on the Rollover Share Price, or any combination of the foregoing, as determined by Parent in its sole and absolute discretion; provided that in no event shall the aggregate downward adjustment result in the Cash Merger Consideration plus any other consideration that does not constitute Parent Common Stock exceeding twenty percent (20%) of the aggregate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Post-Closing Statement</w:t>
      </w:r>
      <w:r>
        <w:rPr>
          <w:rFonts w:ascii="Times New Roman;Times;Serif" w:hAnsi="Times New Roman;Times;Serif"/>
          <w:b w:val="false"/>
          <w:i w:val="false"/>
          <w:caps w:val="false"/>
          <w:smallCaps w:val="false"/>
          <w:sz w:val="20"/>
        </w:rPr>
        <w:t>. Within ninety (90) days after the Closing Date, Parent shall prepare and deliver to the Shareholder Representative a statement (the “</w:t>
      </w:r>
      <w:r>
        <w:rPr>
          <w:rFonts w:ascii="Times New Roman;Times;Serif" w:hAnsi="Times New Roman;Times;Serif"/>
          <w:b/>
          <w:i/>
          <w:caps w:val="false"/>
          <w:smallCaps w:val="false"/>
          <w:sz w:val="20"/>
        </w:rPr>
        <w:t>Final Closing Statement</w:t>
      </w:r>
      <w:r>
        <w:rPr>
          <w:rFonts w:ascii="Times New Roman;Times;Serif" w:hAnsi="Times New Roman;Times;Serif"/>
          <w:b w:val="false"/>
          <w:i w:val="false"/>
          <w:caps w:val="false"/>
          <w:smallCaps w:val="false"/>
          <w:sz w:val="20"/>
        </w:rPr>
        <w:t>”) setting forth Parent’s calculation of Closing Cash, Closing Indebtedness, Closing Net Working Capital, Unpaid Transaction Expenses, Indemnified Taxes, Closing Related-Party Amounts and the resulting adjustment to the Merger Consideration. Parent and its Representatives shall be entitled to review the books, records, working papers and personnel of the Company for purposes of preparing the Final Closing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Review; Dispute</w:t>
      </w:r>
      <w:r>
        <w:rPr>
          <w:rFonts w:ascii="Times New Roman;Times;Serif" w:hAnsi="Times New Roman;Times;Serif"/>
          <w:b w:val="false"/>
          <w:i w:val="false"/>
          <w:caps w:val="false"/>
          <w:smallCaps w:val="false"/>
          <w:sz w:val="20"/>
        </w:rPr>
        <w:t>. The Shareholder Representative shall have ninety (90) days after receipt of the Final Closing Statement to deliver a written notice of dispute to Parent specifying in reasonable detail each item disputed and the basis for such dispute. Any item not so disputed within such ninety (90)-day period shall be final, binding and conclusive. Parent and the Shareholder Representative shall negotiate in good faith to resolve any disputed items. If any disputed items remain unresolved after thirty (30) days, of Parent’s receipt of the Shareholder’s written notice of dispute such items shall be submitted to an independent accounting firm mutually selected by Parent and the Shareholder Representative, or, if they cannot agree within ten (10) Business Days, a nationally recognized independent accounting firm mutually acceptable to the Parent and the Shareholder Representative that has not provided material services to Parent, the Company or the Shareholders during the prior two (2) years. The determination of such accounting firm shall be final, binding and conclusive absent manifest error. The fees and expenses of such accounting firm shall be allocated between Parent and the Shareholders in inverse proportion to the relative success of their respective positions.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 of Final Adjustment</w:t>
      </w:r>
      <w:r>
        <w:rPr>
          <w:rFonts w:ascii="Times New Roman;Times;Serif" w:hAnsi="Times New Roman;Times;Serif"/>
          <w:b w:val="false"/>
          <w:i w:val="false"/>
          <w:caps w:val="false"/>
          <w:smallCaps w:val="false"/>
          <w:sz w:val="20"/>
        </w:rPr>
        <w:t xml:space="preserve">. If the final adjustment as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results in an additional amount owing to Parent, the Shareholder Representative shall pay such amount to Parent within five (5) Business Days after final determination by wire transfer of immediately available funds. If the final adjustment results in an additional amount owing to the Shareholders, Parent shall pay such amount to the Shareholder Representative within five (5) Business Days after final determination by wire transfer of immediately available funds; provided that, with the prior written consent of the Shareholder Representative, Parent may satisfy such obligation by issuing additional shares of Parent Common Stock valued at the Rollover Share Price, subject in all cases to compliance with the applicable rules of The Nasdaq Stock Market LLC and applicable Law.</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Limitation on Indemnity</w:t>
      </w:r>
      <w:r>
        <w:rPr>
          <w:rFonts w:ascii="Times New Roman;Times;Serif" w:hAnsi="Times New Roman;Times;Serif"/>
          <w:b w:val="false"/>
          <w:i w:val="false"/>
          <w:caps w:val="false"/>
          <w:smallCaps w:val="false"/>
          <w:sz w:val="20"/>
        </w:rPr>
        <w:t xml:space="preserve">. The rights and remedies set forth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are in addition to, and shall not limit, Parent’s rights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any other rights or remedies available under this Agreement, at law or in equity; provided, however, that any amount recovered by Parent under this Section 2.5 with respect to any matter shall reduce any Damages recoverable by Parent under Article VII with respect to the same matter, and vice versa.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relating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the Disclosure Schedules, the Company and the Shareholders hereby represent and warrant to Parent, Merger Sub X and Merger Sub XI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to the extent applicable, in good standing under the Laws of each jurisdiction in which the properties and assets owned, operated, leased or held by it, or the nature of the business conducted by it, makes such qualification, licensing or authorization necessary, except where the failure to be so duly qualified, licensed or authorized and in such good standing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does not own, and has never owned, directly or indirectly, any Equity Interest in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furnished or otherwise made available to Parent correct and complete copies of the Organizational Documents of the Company, as amended and/or restated and in effect as of the date hereof, which Organizational Documents are in full force and effect. The Company is not in violation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the Ancillary Agreements to which the Company is or will be a party, the performance by the Company of its covenants and obligations hereunder and thereunder, and the consummation by the Company of the transactions contemplated hereby and thereby have been duly and validly authorized and approved by the Company Board and, except for the adoption of this Agreement by the Shareholders and the filing of the First Certificates of Merger and the Second Certificates of Merger with the Secretary of State of the State of Delaware pursuant to the DGCL and the DLLCA, no other corporate proceedings or actions on the part of the Company are necessary to authorize the execution and delivery by the Company of this Agreement or the Ancillary Agreements to which the Company is or will be a party, the performance by the Company of its covenants and obligations hereunder and thereunder, and/or the consummation by the Company of the transactions contemplated hereby and thereby.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has all requisite power and authority to execute and deliver this Agreement and the Ancillary Agreements to which the Shareholder is or will be a party, to perform the Shareholder’s covenants and obligations hereunder and thereunder and to consummate the transactions contemplated hereby and thereby. This Agreement and each Ancillary Agreement to which the Shareholder is or will be a party has been or will be duly and validly executed and delivered by the Shareholder and, assuming the due authorization, execution and delivery by the other parties hereto or thereto, constitutes, or upon execution and delivery will constitute, the legal, valid and binding obligation of the Shareholder, enforceable against the Shareholder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20,000,000 shares of Common Stock, of which </w:t>
      </w:r>
      <w:r>
        <w:rPr>
          <w:rFonts w:ascii="Times New Roman;Times;Serif" w:hAnsi="Times New Roman;Times;Serif"/>
          <w:b/>
          <w:i w:val="false"/>
          <w:caps w:val="false"/>
          <w:smallCaps w:val="false"/>
          <w:sz w:val="20"/>
        </w:rPr>
        <w:t>17,652,990</w:t>
      </w:r>
      <w:r>
        <w:rPr>
          <w:rFonts w:ascii="Times New Roman;Times;Serif" w:hAnsi="Times New Roman;Times;Serif"/>
          <w:b w:val="false"/>
          <w:i w:val="false"/>
          <w:caps w:val="false"/>
          <w:smallCaps w:val="false"/>
          <w:sz w:val="20"/>
        </w:rPr>
        <w:t xml:space="preserve"> shares are issued and outstanding. All of the issued and outstanding shares of Common Stock are held by the Shareholder and in the amounts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which further sets forth for the Shareholder the number of shares held, the number of the applicable stock certificates representing such shares and the domicile addresses of record of the Shareholder. All of the issued and outstanding shares of Common Stock have been duly authorized and validly issued and are fully paid and nonassessable and were issued in accordance with the requirements under the Organizational Documents of the Company and applicable securities Laws or pursuant to a valid exemption therefrom. All issued and outstanding shares of Common Stock are owned beneficially and of record by the Shareholder free and clear of any and all Liens whatsoever, and no shares of Common Stock are held in the Company’s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adopted, the 2020 Equity Incentive Plan (the “</w:t>
      </w:r>
      <w:r>
        <w:rPr>
          <w:rFonts w:ascii="Times New Roman;Times;Serif" w:hAnsi="Times New Roman;Times;Serif"/>
          <w:b/>
          <w:i/>
          <w:caps w:val="false"/>
          <w:smallCaps w:val="false"/>
          <w:sz w:val="20"/>
        </w:rPr>
        <w:t>Option Plan</w:t>
      </w:r>
      <w:r>
        <w:rPr>
          <w:rFonts w:ascii="Times New Roman;Times;Serif" w:hAnsi="Times New Roman;Times;Serif"/>
          <w:b w:val="false"/>
          <w:i w:val="false"/>
          <w:caps w:val="false"/>
          <w:smallCaps w:val="false"/>
          <w:sz w:val="20"/>
        </w:rPr>
        <w:t xml:space="preserve">”) under which the Company has reserved 1,700,000 shares of Common Stock as equity incentive to employees, independent contractors, and consultants. The Company has issued and outstanding options to purchase 695,000 shares of Common Stock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options outstanding under the Option Plan as set forth on Schedule 3.3(a) of the Disclosure Schedules, there are no outstanding Security Rights (i) for the purchase or acquisition from the Company of any shares of Common Stock or any other Equity Interests of the Company, or (ii) for the purchase or acquisition of any shares of Common Stock or any other Equity Interests of the Company from any Shareholder. There are no obligations, contingent or otherwise, of the Company to (x) repurchase, redeem or otherwise acquire any shares of Common Stock or any other Equity Interests of the Company, (y) issue or award any Security Right or Common Stock to any Person or (z) make any material investment in (in the form of a loan, capital contribution or otherwise) any Person. There are no outstanding or authorized equity appreciation, phantom stock, profit participation or other similar rights with respect to the Company (whether payable in shares, cash or otherwise).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agreements to which the Company or any Shareholder is a party relating to the voting of any shares of Common Stock or the registration, sale or transfer of any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(i) result in a violation or breach of or conflict with the Organizational Documents of the Company; (ii) conflict with, violate or constitute (with or without notice or lapse of time, or both) a violation of, in any material respect, any Law applicable to the Company or by which any property or asset of the Company is bound; (iii) result in a breach of any Order to which the Company is subject or which is binding on the Company; (iv)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Company to make any payment under, any of the terms, conditions or provisions of any Material Contract; or (v) result in the creation of any Lien, except for Permitted Liens, on any property or asset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of the Disclosure Schedules,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require any consent, approval or authorization of, waiting period expiration or termination, or registration, qualification, declaration or filing with or notification to, any Governmental Authority or any other Person, other than the filing of the First Certificates of Merger and Second Certificates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by the Shareholder of this Agreement and the Ancillary Agreements to which the Shareholder is or will be a party, the compliance by the Shareholder with the Shareholder’s obligations hereunder and thereunder and/or the consummation by the Shareholder of the transactions contemplated hereby and thereby, do not and will not: (i) conflict with, violate or constitute (with or without notice or lapse of time, or both) a violation of, in any material respect, any Law applicable to the Shareholder or by which any property or asset of the Shareholder is bound, or (ii)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Shareholder to make any payment under, any of the terms, conditions or provisions of any Contract applicable to the Shareholder or by which any property or asset of the Shareholder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sets forth a correct and complete list of each Employee Benefit Plan, copies of which have been furnished to Parent.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Employee Benefit Plan, the Company has furnished to the Parent or otherwise made available to Parent accurate, current, and complete copies of each of the following: (i) the plan document with all amendments, or if not reduced to writing, a written summary of all material plan terms; (ii) any written contracts and arrangements related to such Employee Benefit Plan, including trust agreements or other funding arrangements, and insurance policies, certificates, and contracts; (iii) in the case of an Employee Benefit Plan intended to be qualified under Section 401(a) of the Code, the most recent favorable determination or national office approval letter issued by the IRS and any legal opinions issued thereafter with respect to the Employee Benefit Plan’s continued qualification; (iv) the most recent Form 5500 filed with respect to such Employee Benefit Plan; and (v) any material notices, audits, inquiries, or other correspondence from, or filings with, any Governmental Authority relating to the Employee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Employee Benefit Plan and related trust has been established, administered, and maintained in accordance with its terms and in compliance in all material respects with all applicable Laws (including ERISA and the Code). Nothing has occurred with respect to any Employee Benefit Plan that has subjected or, to the Knowledge of the Company, could reasonably be expected to subject the Company or, with respect to any period on or after the Closing Date, Parent or any of its Affiliates, to a civil action, penalty, surcharge or Tax under applicable Law or which would jeopardize the previously-determined qualified status of any Employee Benefit Plan. All benefits, contributions, and premiums relating to each Employee Benefit Plan have been timely paid in accordance with the terms of such Employee Benefit Plan and all applicable Laws and accounting principles. Benefits accrued under any unfunded Employee Benefit Plan have been paid, accrued or adequately reserved for to the extent required by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incurred and does not reasonably expect to incur: (i) any Liability under Title I or Title IV of ERISA, any related provisions of the Code, or applicable Law relating to any Employee Benefit Plan; or (ii) any Liability to the Pension Benefit Guaranty Corporation. No complete or partial termination of any Employee Benefit Plan has occurred or is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not now or at any time contributed to, sponsored, or maintained: (i) any “multiemployer plan” as defined in Section 3(37) of ERISA; (ii) any “single-employer plan” as defined in Section 4001(a)(15) of ERISA; (iii) any “multiple employer plan” as defined in Section 413(c) of the Code; (iv) any “multiple employer welfare arrangement” as defined in Section 3(40) of ERISA; (v) a leveraged employee stock ownership plan described in Section 4975(e)(7) of the Code; or (vi) any other Employee Benefit Plan subject to required minimum funding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 required under Sections 601 to 608 of ERISA or other applicable Law, no Employee Benefit Plan provides post-termination or retiree welfare benefits to any individual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of this Agreement nor any of the transactions contemplated by this Agreement will, either alone or in combination with any other event: (i) entitle any current or former director, officer, employee, independent contractor, or consultant of the Company to any severance pay, increase in severance pay, or other payment; (ii) accelerate the time of payment, funding, or vesting, or increase the amount of compensation (including stock-based compensation) due to any such individual; (iii) limit or restrict the right of the Company to amend or terminate any Employee Benefit Plan; (iv) increase the amount payable under any Employee Benefit Plan; (v) result in any “excess parachute payments” within the meaning of Section 280G(b) of the Code; or (vi) require a “gross-up” or other payment to any “disqualified individual” within the meaning of Section 280G(c) of the Code.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xml:space="preserve"> of the Disclosure Schedules lists: (i) all employees, independent contractors, and consultants of the Company; and (ii) for each individual described in clause (i), (A) the individual’s title or position, hire date, and compensation, (B) any Contracts entered into between the Company and such individual, and (C) the fringe benefits provided to each such individual. All compensation payable to all employees, independent contractors, or consultants of the Company for services performed on or prior to the Closing Date have been paid in full. Each Person who is an employee of the Company is employed at will without any penalty, Liability or severance obligation. The Company does not have any employees or other service providers outside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properly classified all individuals who perform services for it as an employee or independent contractor and as exempt or non-exempt, and there is no Action pending or, to the Knowledge of the Company, threatened that challenges such classifications.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 party to any labor or collective bargaining agreement, and no employee of the Company is represented by any labor organization with respect to such employee’s employment with the Company. There are no (i) strikes, work stoppages, work slowdowns, lockouts or other material job actions pending or, to the Knowledge of the Company, threatened against or involving the Company, (ii) unfair labor practice charges or other material labor disputes pending or, to the Knowledge of the Company, threatened by or on behalf of any employee or group of employees of the Company, (iii) elections, petitions or proceedings by a labor union or representative thereof to organize any employees of the Company, (iv) material grievance or arbitration demands against the Company whether or not filed pursuant to a collective bargaining agreement, or (v) charges, claims, compliance orders or investigations by any local labor or tax Governmental Authority in relation to the employment by the Company of any employee or engagement by the Company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 is and has been in compliance in all material respects with all applicable Laws relating to employment, employment practices, wages, hours or other labor-related matters, including applicable Laws relating to discrimination, worker classification (including the proper classification of workers as independent contractors and consultants), wages and hours, compensation, labor relations, leave of absence requirements, occupational health and safety, harassment, retaliation, immigration or wrongful discharge of employees or former employees of the Company; and (ii) has withheld and reported all amounts required by Law or by Contract to be withheld and reported with respect to wages, salaries and other payments to its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xml:space="preserve"> of the Disclosure Schedules includes a correct and complete copy of (i) the unaudited Financial Statements of the Company as of and for the fiscal years ended December 31, 2023, December 31, 2024 and December 31, 2025 (the “</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and (ii) the unaudited interim Financial Statements of the Company as of and for the 5-month period ended May 31, 2026 (the “</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and together with the Annual Financial Statements,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Financial Statements present fairly in all material respects the financial condition of the Company at the dates therein indicated and the results of operations and cash flows of the Company for the periods therein specified. The Company Financial Statements have been prepared in accordance with GAAP applied on a consistent basis throughout the periods indicated, except that the Interim Financial Statements do not contain footnotes and are subject to normal year-end adjustments, none of which, alone or in the aggregate, are reasonably expected to have a material impact on the results of operations of the Company. The books and records of the Company have been, and are being,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Absence of Undisclosed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 material Liabilities, except for those Liabilities (a) reflected on the Company Balance Sheet, (b) incurred by the Company since the Balance Sheet Date in the ordinary course of business consistent with past practice (none of which results from, arises out of, relates to, is in the nature of, or was caused by any breach of contract, breach of warranty, tort, infringement or violation of Law) or arising in conjunction with this Agreement and the consummation of the transactions contemplated hereby, (c) arising under the terms of any Contract or Permit binding upon the Company, excluding any liabilities arising from any breach or default under, or event that with the lapse of time or the giving of notice and passage of time without a cure would constitute a breach or default under such Contract or Permit, or (d)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Title to Tangible Personal Property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good, valid and marketable title to, or a valid leasehold interest in or a valid right to use, all of the material equipment, furniture, fixtures and other tangible personal property and assets necessary for the Company to conduct its business and operations as presently conducted, free and clear of any Liens (other than Permitted Liens). All material personal property owned or leased by the Company is maintained in good operating condition, reasonable wear and tear excepted, for the purposes for which it is currently being used. None of the material personal property owned or leased by the Company is in the possession, custody or control of any Person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Absence of Certain Changes or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2026 through the date of this Agreement, except for the execution of this Agreement and the discussions, negotiations and the transactions related hereto, (a) the Company has conducted its business in all material respects in the ordinary course of business consistent with past practice, and (b) there has not been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Compliance with Laws;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has been in compliance in all material respects with any and all Laws applicable to it and its business, properties and/or assets.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(i) the Company has not received any written notices of any violation or deficiency with respect to any Laws applicable to the Company or its business, properties or assets; (ii) the Company is not in default under, and no condition exists (whether covered by insurance or not) that with or without notice or lapse of time or both would constitute a default under, or breach or violation of, any material Law applicable to the Company or its business, properties or assets; (iii) the Company has not received any notice of any formal or informal investigation or review related to the Company is being or has been conducted by any commission, board or other Governmental Authority, and, to the Knowledge of the Company, no such investigation or review is scheduled, pending or threatened; (iv) the Company has not made any voluntary disclosure to any Governmental Authority with respect to any actual or potential non-compliance with any Laws applicable to the Company or its business, properties or assets; and (v) the Company has not been the subject to any criminal Actions or convicted of any felony or misdemeanor.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Except as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(i) the Company is and has been in compliance in all material respects with such Permits and (ii) no Action is pending or, to the Knowledge of the Company, threatened to modify, suspend, revoke, withdraw, terminate or otherwise limit any such Permits. None of the material Permits of the Company will be subject to termination or impairment or will become subject to consent, approval, notice or reissuance by the applicable Governmental Authority, in whole or in part, as a result of the consummation of the transactions contemplated hereby,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Absence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(a) there is no Action pending or, to the Knowledge of the Company, threatened in writing against or affecting the Company or its business, properties and/or assets, and (b) the Company has not received or entered into, and is not subject to, any outstanding Order. There is no unsatisfied judgment or any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and has never owned, any real property or any ownership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3.13(b)</w:t>
      </w:r>
      <w:r>
        <w:rPr>
          <w:rFonts w:ascii="Times New Roman;Times;Serif" w:hAnsi="Times New Roman;Times;Serif"/>
          <w:b w:val="false"/>
          <w:i w:val="false"/>
          <w:caps w:val="false"/>
          <w:smallCaps w:val="false"/>
          <w:sz w:val="20"/>
        </w:rPr>
        <w:t xml:space="preserve"> of the Disclosure Schedules sets forth the lease pursuant to which the Company leases the Leased Real Property (the “</w:t>
      </w:r>
      <w:r>
        <w:rPr>
          <w:rFonts w:ascii="Times New Roman;Times;Serif" w:hAnsi="Times New Roman;Times;Serif"/>
          <w:b/>
          <w:i/>
          <w:caps w:val="false"/>
          <w:smallCaps w:val="false"/>
          <w:sz w:val="20"/>
        </w:rPr>
        <w:t>Lease</w:t>
      </w:r>
      <w:r>
        <w:rPr>
          <w:rFonts w:ascii="Times New Roman;Times;Serif" w:hAnsi="Times New Roman;Times;Serif"/>
          <w:b w:val="false"/>
          <w:i w:val="false"/>
          <w:caps w:val="false"/>
          <w:smallCaps w:val="false"/>
          <w:sz w:val="20"/>
        </w:rPr>
        <w:t>”), a correct and complete copy of which has been furnished or otherwise made available to Parent. The Company does not lease, sublease or license any other real property. The Company has not received written notice of any claimed abatements, offsets, defenses or other basis for relief or adjustment with respect to the Lease. Neither the Company nor any other party or parties to the Lease have exercised or waived any expansion, renewal, rights of first offer, rights of first refusal or termination rights set forth in the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Leased Real Property, the Company has a good and valid leasehold interest in, and enjoys peaceful and undisturbed possession of, the Leased Real Property, free and clear of any and all Liens (other than Permitted Liens), covenants or title defects that have had or could reasonably be expected to have a material adverse effect on the Company’s use, occupancy or operation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any written notice of any violation of a building code or zoning or similar Law applicable to the Leased Real Property or of any defect in all or any portion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maintenance and repairs have been made to the interior premises of the Leased Real Property in the normal course, and there is no deferred maintenance related to the interior premises of the Leased Real Property. All material portions of the Leased Real Property, including utilities, air conditioning, heating, plumbing, sprinkler system and electric wiring, are in good working order and repair, normal wear and tear excepted. The Company, as a tenant under the Lease, has not given written notice to the lessor under the Lease requesting that any such lessor make certain repairs to all or any portion of the Leased Real Property that remains uncured by the lessor.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xml:space="preserve"> of the Disclosure Schedules, the Company is not a party to or otherwise bound by any of the following Contracts (with such Contracts to which the Company is a party to or otherwise bound by being referred to herein as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group of related Contracts) that involved expenditures or guaranteed receipts by the Company of more than $50,000 in the last fiscal year or is expected to involve expenditures or guaranteed receipts by the Company of more than $50,000 in the current fiscal year;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any Contract relating to indebtedness or providing for the creation of or granting any Lien upon any of the properties or assets of the Company, or (B) any Contract (1) relating to any loan or advance to any Person which is outstanding as of the date hereof, or (2) obligating or committing the Company to make any such loans or advances;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(A) containing covenants restricting or purporting to restrict competition which, in either case, have or would have the effect of prohibiting the Company or any of its Affiliates (including Parent and its Affiliates after the Closing) from engaging in any business or activity in any product, product application, market or geographic area or other jurisdiction; (B) containing covenants prohibiting or limiting the right of the Company to make, sell or distribute any products or services; (C) in which the Company has granted “exclusivity” or that requires the Company to deal exclusively with, any customer, vendor, supplier, distributor, contractor or other Person; (D) that includes minimum purchase conditions or other requirements; (E) containing a “most-favored-nation,” best pricing or other similar term or provision by which another party to such Contract or any other Person is, or could become, entitled to any benefit, right or privilege which, under the terms of such Contract, must be at least as favorable to such party as those offered to another Person; or (F) containing any “non-solicitation” or “no-hire” provisions or covenants running in favor of another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involving any settlement of any actual or threatened Action involving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is a lessee of, or holds or operates, any machinery, equipment, vehicle or other tangible personal property owned by a third party;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pursuant to which the Company is granted a lease in, sublease in or the right to use or occupy any property, including each of the Leases;</w:t>
      </w:r>
    </w:p>
    <w:p>
      <w:pPr>
        <w:pStyle w:val="TextBody"/>
        <w:bidi w:val="0"/>
        <w:spacing w:before="0" w:after="0"/>
        <w:ind w:left="25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with respect to any Intellectual Property to which the Company is a licensee or licensor (other than Contracts relating to unmodified, commercially available off-the-shelf software, or licenses granted to customers in the ordinary course of business with fees less than $15,000 per year or $20,000 in the aggregate);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Contract not listed in clauses (i) through (vii) of this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 xml:space="preserve">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furnished or otherwise made available to Parent complete and correct copies of each Material Contract, in each case as amended to and in effect on the date of this Agreement. Each Material Contract is valid, binding and enforceable as to the Company and is in full force and effect (other than due to ordinary expiration of the term thereof) and, to the Knowledge of the Company, is valid, binding and enforceable as to the other party or parties thereto. The Company has not received written or, to the Knowledge of the Company, oral notice of the intention or desire of any party to terminate, cancel, not renew or modify any Material Contract in any material respect. The Company has in all material respects performed all obligations required to be performed by it under each Material Contract to which it is a party. There is no material breach or default under any Material Contract by the Company or, to the Knowledge of the Company, any other party or parties thereto. No event has occurred that with or without the lapse of time or the giving of notice or both would constitute a material breach or default under any Material Contract by the Company or, to the Knowledge of the Company, any other party or parties thereto. The Company has not received any written or, to the Knowledge of the Company, oral notice regarding any actual violation or breach of, or default under,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Contracts have been furnished to the Data 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of the Disclosure Schedules contains a list of all policies of fire, liability, workers’ compensation, property, casualty and other forms of insurance owned or held by the Company as of the date of this Agreement (the “</w:t>
      </w:r>
      <w:r>
        <w:rPr>
          <w:rFonts w:ascii="Times New Roman;Times;Serif" w:hAnsi="Times New Roman;Times;Serif"/>
          <w:b/>
          <w:i/>
          <w:caps w:val="false"/>
          <w:smallCaps w:val="false"/>
          <w:sz w:val="20"/>
        </w:rPr>
        <w:t>Insurance Policies</w:t>
      </w:r>
      <w:r>
        <w:rPr>
          <w:rFonts w:ascii="Times New Roman;Times;Serif" w:hAnsi="Times New Roman;Times;Serif"/>
          <w:b w:val="false"/>
          <w:i w:val="false"/>
          <w:caps w:val="false"/>
          <w:smallCaps w:val="false"/>
          <w:sz w:val="20"/>
        </w:rPr>
        <w:t>”). The Company has furnished or otherwise made available to Parent correct and complete copies of all such Insurance Policies. All such Insurance Policies are in full force and effect, all premiums with respect thereto covering all periods up to and including the Closing Date will have been paid as of the Closing, and no notice of cancellation, termination, non-renewal or denial of coverage has been received by the Company with respect to any such Insurance Policy. The Company is not in default under any such Insurance Policy. The Company has not received written or, to the Knowledge of the Company, oral notice of any threatened termination of, or material premium increase with respect to, any of the Insurance Policies. Such Insurance Policies are sufficient for compliance by the Company with all applicable Laws and all terms and requirements of all Material Contracts. There is no material Action pending under any such Insurance Policy as to which coverage has been questioned, denied or disputed by the underwriter of such Insurance Policy. At no time in the past five (5) years has there been any lapse in coverage of the insurance carried by the Company. None of such Insurance Policies provides for any retrospective premium adjustment or other experience-based liability on the part of the Company. The Company has at all times been in the past five (5) years, and is at the date of this Agreement, insured against accident, damage, injury, third party loss (including product liability), loss of profits and any other risk on terms and limits normally insured by a prudent person operating the types of business similar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the right to use all of the material Intellectual Property necessary to enable the Company to conduct its business as it is currently conducted and as it is currently proposed to be conducted, including the design, development, manufacture, use, marketing, import for resale, distribution, licensing out and sale of any Company Product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of all issued patents, registered trademarks, registered copyrights, registered domain names and pending applications for any of the foregoing, in each case owned or exclusively licensed by the Company (collectively, the “</w:t>
      </w:r>
      <w:r>
        <w:rPr>
          <w:rFonts w:ascii="Times New Roman;Times;Serif" w:hAnsi="Times New Roman;Times;Serif"/>
          <w:b/>
          <w:i/>
          <w:caps w:val="false"/>
          <w:smallCaps w:val="false"/>
          <w:sz w:val="20"/>
        </w:rPr>
        <w:t>Registered Company Intellectual Property</w:t>
      </w:r>
      <w:r>
        <w:rPr>
          <w:rFonts w:ascii="Times New Roman;Times;Serif" w:hAnsi="Times New Roman;Times;Serif"/>
          <w:b w:val="false"/>
          <w:i w:val="false"/>
          <w:caps w:val="false"/>
          <w:smallCaps w:val="false"/>
          <w:sz w:val="20"/>
        </w:rPr>
        <w:t>”) including (i) the record owner of such item, and, if different, the legal owner and beneficial owner of such item, (ii) the jurisdiction in which such item is issued, registered or pending, (iii) the issuance, registration or application date and number of such item, and (iv) for each domain name registration, the applicable domain name registrar, the name of the registrant and the expiration date for the registration. No interference, opposition, reissue, reexamination or other proceeding of any nature is or has been pending or to the Knowledge of the Company threatened, in which the scope, validity or enforceability of any Registered Company Intellectual Property is being or has been contested or challenged. All Registered Company Intellectual Property has been duly maintained (including the payment of maintenance and filing fees), and is in full force and effect. Each item of Registered Company Intellectual Property (A) is currently in compliance with formal legal requirements as necessary to maintain such item of Registered Company Intellectual Property (including payment of filing, examination and maintenance fees and proofs of use and the filing of necessary documents and certificates); (B) is subsisting, and except with respect to applications, valid and enforceable, and (C) is not subject to any late unpaid maintenance fees. To the Knowledge of the Company, there are no facts, information or circumstances, including any information or facts that would constitute prior art, that would render any of the Registered Company Intellectual Property invalid or unenforceable, or would affect any pending application for any Registered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the sole and exclusive owner of all right, title and interest in and to (i) all Registered Company Intellectual Property and (ii) all other Company Intellectual Property owned or purported to be owned by, or subject to an obligation to be assigned to, the Company (clauses (i) and (ii) collectively, the “</w:t>
      </w:r>
      <w:r>
        <w:rPr>
          <w:rFonts w:ascii="Times New Roman;Times;Serif" w:hAnsi="Times New Roman;Times;Serif"/>
          <w:b/>
          <w:i/>
          <w:caps w:val="false"/>
          <w:smallCaps w:val="false"/>
          <w:sz w:val="20"/>
        </w:rPr>
        <w:t>Owned Company Intellectual Property</w:t>
      </w:r>
      <w:r>
        <w:rPr>
          <w:rFonts w:ascii="Times New Roman;Times;Serif" w:hAnsi="Times New Roman;Times;Serif"/>
          <w:b w:val="false"/>
          <w:i w:val="false"/>
          <w:caps w:val="false"/>
          <w:smallCaps w:val="false"/>
          <w:sz w:val="20"/>
        </w:rPr>
        <w:t>”), free and clear of all Liens, other than non-exclusive licenses in Company Intellectual Property made in the ordinary course of business consistent with past practice pursuant to the standard Company agreements substantially in the form furnished or otherwise made available to Parent. The Company has not (A) transferred to any Person ownership of, or granted any exclusive license with respect to, any Intellectual Property that is or would have been, but for such transfer or grant, Company Intellectual Property, or (B) permitted the rights of the Company in any Owned Company Intellectual Property that are or were, at the time, material Company Intellectual Property rights to lapse or enter into the public domain other than as to trademark registrations where commercially reasonable to do so in the Company’s judgment. All Owned Company Intellectual Property is fully and freely transferable and assignable and may be transferred and assigned to Parent, the Surviving Corporation or the Surviving Entity without restriction and without payment of any kind to any third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Company Intellectual Property that is not Owned Company Intellectual Property (collectively the “</w:t>
      </w:r>
      <w:r>
        <w:rPr>
          <w:rFonts w:ascii="Times New Roman;Times;Serif" w:hAnsi="Times New Roman;Times;Serif"/>
          <w:b/>
          <w:i/>
          <w:caps w:val="false"/>
          <w:smallCaps w:val="false"/>
          <w:sz w:val="20"/>
        </w:rPr>
        <w:t>Licensed Intellectual Property</w:t>
      </w:r>
      <w:r>
        <w:rPr>
          <w:rFonts w:ascii="Times New Roman;Times;Serif" w:hAnsi="Times New Roman;Times;Serif"/>
          <w:b w:val="false"/>
          <w:i w:val="false"/>
          <w:caps w:val="false"/>
          <w:smallCaps w:val="false"/>
          <w:sz w:val="20"/>
        </w:rPr>
        <w:t>”) is validly licensed to the Company. The Company has (and will continue to have immediately following the Closing) valid and continuing rights (under such Contracts) to use, sell, license and otherwise exploit, as the case may be, all Licensed Intellectual Property as the same are currently used, sold, licensed and otherwise exploited by the Company. All Licensed Intellectual Property is (or, upon Closing, will be) freely transferable to Parent, the Surviving Corporation or the Surviving Entity, or rights of the Company in such Licensed Intellectual Property may otherwise be extended to Parent, the Surviving Corporation and the Surviving Entity, under the terms of the applicable Contracts, without restriction and without payment of any kind to any third Person (other than license fees or similar fees that the Company would have had to pay in any event under the terms of the applicable Contracts even without any such sublicense or extension of rights to Parent, the Surviving Corporation or the Surviving Entity).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Intellectual Property, the Company Products and the conduct of the Company’s business do not infringe, misappropriate or violate any Intellectual Property of any other Person and has not infringed, misappropriated or violated any Intellectual Property of any other Person. No Person (including employees and, to the Knowledge of the Company, former employees of the Company) is infringing, misappropriating or violating, or has infringed, misappropriated or violated, any Company Intellectual Property. The Company is not a party to or the subject of any pending or, to the Knowledge of the Company, threatened Action which involves a claim (x) against the Company of infringement, misappropriation or violation of any Intellectual Property of any Person, or challenging the ownership, use, validity or enforceability of any Company Intellectual Property, or (y) contesting the right of the Company to use any Company Intellectual Property. The Company has not received any written notice from any Person inviting the Company to take a license under any Intellectual Property or to consider the applicability of any third party Intellectual Property rights to any Company Products or the conduct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commercially reasonable measures to protect all Proprietary Information of the Company and all Proprietary Information of any third Person in the possession or control of the Company, or to which the Company has access, with respect to which the Company has a confidentiality obligation. No material Proprietary Information has been authorized to be disclosed or actually disclosed to any Person other than (i) pursuant to a written confidentiality Contract restricting the disclosure and use of such Proprietary Information or (ii) to a Person otherwise bound by fiduciary, professional, ethical or other legal obligations to the Company restricting the disclosure and/or use of such Proprietary Information. Each current and former employee, contractor, director and consultant of the Company that has been involved in the authorship, invention, creation, conception or other development of any Owned Company Intellectual Property has entered into an enforceable written non-disclosure and invention assignment Contract with the Company that assigns to the Company all Intellectual Property authored, invented, created, conceived or otherwise developed by such employee, contractor, director or consultant in the scope of his, her or its employment or engagement with the Company (an “</w:t>
      </w:r>
      <w:r>
        <w:rPr>
          <w:rFonts w:ascii="Times New Roman;Times;Serif" w:hAnsi="Times New Roman;Times;Serif"/>
          <w:b/>
          <w:i/>
          <w:caps w:val="false"/>
          <w:smallCaps w:val="false"/>
          <w:sz w:val="20"/>
        </w:rPr>
        <w:t>Invention Assignment Agreement</w:t>
      </w:r>
      <w:r>
        <w:rPr>
          <w:rFonts w:ascii="Times New Roman;Times;Serif" w:hAnsi="Times New Roman;Times;Serif"/>
          <w:b w:val="false"/>
          <w:i w:val="false"/>
          <w:caps w:val="false"/>
          <w:smallCaps w:val="false"/>
          <w:sz w:val="20"/>
        </w:rPr>
        <w:t>”), copies of which have been furnished or otherwise made available by the Company to Parent. No current or former employee, contractor, director or consultant of the Company has (i) excluded any Intellectual Property authored, invented, created, conceived or otherwise developed prior to the employment or engagement of such Person by the Company pursuant to such Person’s Invention Assignment Agreement or any other Contract entered into by such Person and the Company or (ii) alleged, to the Company or, to the Knowledge of the Company, to any third Person, ownership or other exclusive rights by such employee, contractor, director or consultant in any technology authored, invented, created, conceived or otherwise developed by such employee, contractor, director or consultant in the scope of his, her or its employment or engagement with the Company. No remuneration of any kind is due to any current or former employee, contractor, director or consultant of the Company that has been involved in the authorship, invention, creation, conception or other development of any Intellectual Property, in relation to the assignment or exploitation of any Intellectual Property, other than the remuneration expressly provided for in the given Invention Assignment Agreement or salary paid in the ordinary course. All current and former employees of the Company that has been involved in the authorship, invention, creation, conception or other development of any Owned Company Intellectual Property for or on behalf of the Company, and at the time of employment, residents of countries that recognize moral rights or whose employment relationships are or were governed by applicable Law in countries that recognize moral rights have executed written agreements with the Company that to the fullest extent permitted under applicable Law, waive for the benefit of the Company, all moral rights in any works of authorship relating to the business of the Company, including the right to the integrity of the work, the right to be associated with the work as its author by name or under a pseudonym and the right to remain anonymous.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government funding, facilities or resources of any government, international organization, university, college, other educational institution or research center was used in the development of the Company Products or Company Intellectual Property. No current or former director, officer, consultant or contractor of the Company, who was involved in, or who contributed to, the creation or development of the Company Products or Company Intellectual Property is obligated pursuant to any provision or covenant of any Contract with any governmental agency to assign or convey any right, title or interest in or to the Company Products or Company Intellectual Property to such governmental agency, nor is any such assignment or conveyance required pursuant to any applicable Laws.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3.16 of the Disclosure Schedules sets forth each item of material open source, copyleft or community-source software (“</w:t>
      </w:r>
      <w:r>
        <w:rPr>
          <w:rFonts w:ascii="Times New Roman;Times;Serif" w:hAnsi="Times New Roman;Times;Serif"/>
          <w:b/>
          <w:i/>
          <w:caps w:val="false"/>
          <w:smallCaps w:val="false"/>
          <w:sz w:val="20"/>
        </w:rPr>
        <w:t>Open Source Software</w:t>
      </w:r>
      <w:r>
        <w:rPr>
          <w:rFonts w:ascii="Times New Roman;Times;Serif" w:hAnsi="Times New Roman;Times;Serif"/>
          <w:b w:val="false"/>
          <w:i w:val="false"/>
          <w:caps w:val="false"/>
          <w:smallCaps w:val="false"/>
          <w:sz w:val="20"/>
        </w:rPr>
        <w:t>”) used in, incorporated into, integrated or combined with, or distributed with any Company Product or otherwise used by the Company, together with the applicable license for each. The Company is in compliance in all material respects with all licenses applicable to such Open Source Software, and no Open Source Software is used or distributed by the Company in a manner that requires the Company to (i) disclose, license or otherwise make available the source code of any Owned Company Intellectual Property, (ii) license any Owned Company Intellectual Property on a royalty-free basis, or (iii) grant any right to modify, make derivative works of, reverse engineer or redistribute any Owned Company Intellectual Property. Each inbound license to the Company of third-party software integrated with the Company Products (including third-party stacks such as Pix4D and LP360) is a Material Contract or is set forth on Schedule 3.16.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Privacy and Data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has been in compliance in all material respects with all Data Security Requirements and, to the Knowledge of the Company, no facts or circumstances exist that could reasonably be expected to give rise to any material breach of any Data Security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not made any use of Company Product Data or Business Data collected by or on behalf of the Company in violation of Data Security Requirements, and, to the Knowledge of the Company, in the last five (5) years there have been no data breaches involving any Company Product Data or Business Data handled by or on behalf of the Company. The Company has conducted commercially reasonable privacy and data security audits (including independent third-party audits) at reasonable and appropriate intervals and has resolved any privacy or data security issues identified in such audits.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the Company has not previously been and is not currently under investigation by any Governmental Authority regarding its protection, storage, collection, use, disclosure, processing and transfer of Personal Information. The Company has not received any written claim, complaint, inquiry or notice from any Governmental Authority or any other Person related to whether the Company’s collection, processing, use, storage, security and/or disclosure of Company Product Data or Business Data (i) is in violation of any applicable Data Security Requirements or (ii) otherwise constitutes an unfair, deceptive or misleading trade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owns or has a valid right to access and use all Company IT Systems. There has been no (i) failure or systematic malfunction of any Company IT Systems which has caused any material disruption to the business of the Company, (ii) material unplanned downtime or service interruption with respect to any Company IT Systems, (iii) security breach or intrusion into the Company IT Systems or unauthorized access or use of the Company IT Systems, Company Product Data or Business Data, (iv) actual or reasonably suspected unauthorized acquisition, destruction, damage, disclosure, loss, corruption, alteration or use of the Company IT Systems or any Company Product Data or Business Data, or (v) action or circumstance requiring the Company to notify a Governmental Authority of a data security breach or violation of any Data Security Requirements. The Company has not received written notice of any vulnerability in the Company IT Systems that could reasonably be expected to compromise any of the Company IT Systems or Company Product Data or Business Data or result in the loss of availability and/or integrity of the Company IT Systems or Company Product Data or Business Data. The Company has implemented firewall protections, implemented virus scans and has taken all steps in accordance with industry standards to protect the integrity and security of the Company IT Systems and the information stored therein (including all Company Product Data and Business Data and Intellectual Property owned, collected, protected or maintained by the Company) from misuse or unauthorized use, access, disclosure or modification by any Person and to ensure the continued, uninterrupted and error-free operation of the Company IT Systems. The Company has in effect industry standard disaster recovery plans and procedures in the event of any malfunction of or unauthorized access to any Company IT Systems. The Company IT Systems (i) are adequate for the operation of the business of the Company as currently conducted, and (ii) with respect to the Company IT Systems owned by the Company or under the Company’s control, perform in material conformance with their documentation and are free from any material defect. The consummation of the transactions contemplated hereby will not result in any material liabilities or obligations in connection with any Data Security Requirements or impair any right, title or interest of the Company in or to any IT Systems, Company Product Data or Business Data.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(a) the operations of the Company have been conducted in compliance in all material respects with all applicable Environmental Laws; (b) the Company has not received written notice claiming or alleging that the Company was not in compliance, in any material respect, with any Environmental Laws applicable to it or its business, properties or assets; (c) the Company holds all material Permits required under applicable Environmental Laws for the continued operation of its business as currently conducted, including those relating to the management of Hazardous Substances, and the Company is in compliance in all material respects with such Permits; (d) to the Knowledge of the Company, there have been no underground or aboveground storage tanks, generators or known or suspected asbestos-containing materials on, at, under or about any property owned, operated or leased by the Company; (e) the Company has treated, stored, disposed of, arranged for or permitted the disposal of, transported, handled, exposed any Person to, or released any Hazardous Substances or, to the Knowledge of the Company, owned or operated any real property or facility contaminated by any Hazardous Substance, so as to give rise to any material liabilities (contingent or otherwise) under Environmental Laws; (f) the Company has not assumed, undertaken or otherwise become subject to any material liability of another Person, or provided an indemnity with respect to any material liability, relating to Environmental Laws; and (g) there are no Actions pending or, to the Knowledge of the Company, threatened against the Company alleging a material violation of or seeking to impose material liability pursuant to any Environmental Law. The Company has furnished or otherwise made available to Parent copies of any environmental investigation, study, test, audit, review, or other analysis in its possession or under its reasonable control in relation to the current or prior business or properties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Disclosure Schedules, the Company has duly and timely filed all Tax Returns required to be filed by or with respect to the Company, and all such Tax Returns are true, complete and accurate in all material respects. Copies of all Tax Returns filed for the Company for all previously completed taxation years have been furnished or otherwise made available to Parent on or before the date of this Agreement. The Company has paid or remitted all Taxes that are required to be paid by or with respect to the Company (regardless of whether shown on any Tax Return) in accordance with applicable Laws; all Taxes of the Company accrued or accruing following the Balance Sheet Date have accrued in the ordinary course of business; there are no agreements, waivers or other arrangements providing for an extension of time with respect to the filing of any Tax returns, or payment of any Taxes by the Company; the Company has withheld from each payment made to any Person, including any of its officers, directors, and employees, and the amount of all Taxes, including income or withholding Tax, and other deductions required to be withheld therefrom and has paid the same to the proper taxing authority in accordance with applicable Laws; the Company has at any time engaged as (or made payments to) a contractor, consultant or otherwise any Person who may reasonably be characterized as an employee for purposes of any applicable Law in respect of Taxes.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Taxes due and owing by the Company (whether or not shown on any Tax Return) have been timely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currently the beneficiary of any extension of time within which to file any Tax Return that has not been filed. There are no Liens for Taxes (other than statutory liens for current Taxes not yet due and payable) upon any of the assets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unpaid Taxes of the Company (i) did not, as of the Balance Sheet Date, exceed the reserve for Tax liability (excluding any reserve for deferred Taxes established to reflect timing differences between book and Tax income) set forth on the face of the Company Balance Sheet, and (ii) do not exceed that reserve as adjusted for the passage of time through the Closing Date in accordance with the past custom and practice of the Company in filing Tax Returns. Since the Balance Sheet Date, the Company has not incurred any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Taxes against the Company have been claimed, proposed or assessed in writing by any Governmental Authority, except for deficiencies that have been paid or otherwise resolved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is no past, pending or, to the Knowledge of the Company, threatened action, suit, claim, complaint, litigation, investigation, audit, proceeding, arbitration or other similar dispute associated with any Tax Return of the Company that has been or is being conducted by a Governmental Authority. The Company has not received from any Governmental Authority (including jurisdictions where the Company has not filed Tax Returns) any written (or, to the Company’s Knowledge, oral): (i) notice indicating an intent to open an audit or other review, or (ii) request for information related to 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waived any statute of limitations in respect of Taxes or agreed to any extension of time with respect to a Tax assessment or deficiency, which waiver or extension is still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properly and timely withheld, collected, and deposited with the appropriate Governmental Authority all Taxes that are required to be withheld, collected and deposited under applicable Law, and has timely filed all material withholding and information Tax Returns for all periods through and including the Closing Date. All Persons who have provided services to the Company that have been classified by the Company as independent contractors for Tax purposes were properly so classified.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 Company has not constituted either a “distributing corporation” or a “controlled corporation” in a distribution of stock intended to qualify for tax-free treatment under Section 355 or Section 361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disclosed on its Tax Returns any Tax reporting position taken in any Tax Return that could reasonably be expected to result in the imposition of penalties under Section 6662 of the Code or any comparable provisions of state, local or non-U.S. applicable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Company has furnished or made available to Parent complete and accurate copies of all income and other material Tax Returns of the Company for which the applicable statute of limitations has not expired, and complete and accurate copies of all audit or examination reports and statements of deficiencies assessed against the Company. </w:t>
      </w:r>
      <w:r>
        <w:rPr>
          <w:rFonts w:ascii="Times New Roman;Times;Serif" w:hAnsi="Times New Roman;Times;Serif"/>
          <w:b w:val="false"/>
          <w:i w:val="false"/>
          <w:caps w:val="false"/>
          <w:smallCaps w:val="false"/>
          <w:sz w:val="20"/>
          <w:u w:val="single"/>
        </w:rPr>
        <w:t>Schedule 3.19(m)</w:t>
      </w:r>
      <w:r>
        <w:rPr>
          <w:rFonts w:ascii="Times New Roman;Times;Serif" w:hAnsi="Times New Roman;Times;Serif"/>
          <w:b w:val="false"/>
          <w:i w:val="false"/>
          <w:caps w:val="false"/>
          <w:smallCaps w:val="false"/>
          <w:sz w:val="20"/>
        </w:rPr>
        <w:t xml:space="preserve"> of the Disclosure Schedules sets forth each jurisdiction where the Company will be required to file a Tax Return following the Closing with respect to any Pre-Closing Tax Period, including the type of Tax Return and the type of Tax required to be paid. The Company has not received or requested any private letter ruling from the IRS (or any comparable Tax ruling from any other Governmental Authority). No power of attorney with respect to Taxes has been granted with respect to the Company that will have any effect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a party to any agreement with any third party relating to allocating, indemnifying or sharing the payment of, or liability for, Taxes. The Company has not been a member of a group (other than a group the common parent of which was the Company) filing a consolidated, combined, or unitary income Tax Return. The Company does not have any liability for the Taxes of any other Person (i) under Treasury Regulation Section 1.1502-6 (or any similar provision of state, local, or non-U.S. Law); (ii) as a transferee or successor; (iii) by Contract (other than pursuant to Contracts entered into in the ordinary course of business the primary purpose of which is not related to Taxes), or (iv)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does not have, and has never had, any direct or indirect interest in any trust, joint venture, partnership, corporation, limited liability company or other business entity for U.S. federal income Tax purposes (including a Contract or arrangement treated as a partnership for U.S. federal income Tax purposes). The Company uses the accrual method of accounting for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No claim has ever been made by any Governmental Authority in a jurisdiction where the Company does not file Tax Returns that the Company is or may be subject to taxation by that jurisdiction. Except as set forth on </w:t>
      </w:r>
      <w:r>
        <w:rPr>
          <w:rFonts w:ascii="Times New Roman;Times;Serif" w:hAnsi="Times New Roman;Times;Serif"/>
          <w:b w:val="false"/>
          <w:i w:val="false"/>
          <w:caps w:val="false"/>
          <w:smallCaps w:val="false"/>
          <w:sz w:val="20"/>
          <w:u w:val="single"/>
        </w:rPr>
        <w:t>Schedule 3.19(p)</w:t>
      </w:r>
      <w:r>
        <w:rPr>
          <w:rFonts w:ascii="Times New Roman;Times;Serif" w:hAnsi="Times New Roman;Times;Serif"/>
          <w:b w:val="false"/>
          <w:i w:val="false"/>
          <w:caps w:val="false"/>
          <w:smallCaps w:val="false"/>
          <w:sz w:val="20"/>
        </w:rPr>
        <w:t xml:space="preserve"> of the Disclosure Schedules, the Company is not subject to Tax in any jurisdiction outside of the United States by virtue of having employees, a permanent establishment, an office or fixed place of business or other contacts with such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is not, and has never been, an expatriated entity or surrogate foreign corporation within the meaning of Section 7874(a) of the Code or treated as a domestic entity pursuant to Section 7874(b) of the Code. The Company has not transferred intangible property the transfer of which would be subject to the rules of Section 367(d) of the Code. The Company is not subject to any gain recognition agreement Section 367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has not participated in any “reportable transaction” within the meaning of Section 6707A(c) of the Code or Treasury Regulations Section 1.6011-4(b).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has made and where required submitted each claim, declaration, election, notice and consent assumed to have been made and submitted for the purposes of any Tax Returns or Tax-related accounts with the appropriate Governmental Authority, and has in its possession records and details of all such claims, declarations, elections, notices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has complied in all material respects with all reporting obligations and document retention obligations prescribed by applicable Tax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has not, pursuant to the CARES Act, deferred until after the Closing the payment of any payroll Taxes the due date for the original payment of which was or will be before or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not claimed any “employee retention credit” pursuant to Section 2301 of the CARES Act (or any corresponding or similar provisions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is, and at all times since its formation has been, classified as a corporation for U.S. federal income Tax purposes (such classification, the “Company Tax Classification”). The Company has never taken any position on any Tax Return which is inconsistent with the Company Tax Classification for U.S. federal income Tax purposes. No Governmental Authority has challenged or, to the Knowledge of the Company, threatened to challenge the Company Tax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the Company, any Shareholder or any of their respective Affiliates in such a manner as to give rise to any valid claim against Parent, Merger Sub X, Merger Sub XI or any of their respective Affiliates (including, after the closing, the Surviving Corporation or the Surviving Entity)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by the Company or the Shareholders to Parent, Merger Sub X and/or Merger Sub XI pursuant to this Agreement (including information contained in the exhibits hereto, the Disclosure Schedules, the instruments referred to in such Disclosure Schedules and the certificates and other documents to be executed or delivered pursuant hereto by the Company at or prior to the Closing) is not, nor at the Closing will be, false or misleading in any material respect, or contain any misstatement of material fact, or omit to state any material fact required to be stated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NDAA and Supply-Chain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3.24 of the Disclosure Schedules: (a) the Company and each Company Product is, and has been, in compliance in all material respects with all applicable supply-chain, country-of-origin and procurement-eligibility Laws and requirements applicable to unmanned aircraft systems, including Section 848 of the National Defense Authorization Act for Fiscal Year 2020, the American Security Drone Act of 2023 and Section 889 of the National Defense Authorization Act for Fiscal Year 2019, and is not, and does not incorporate any equipment, system, component or service that is, identified on the Federal Communications Commission’s Covered List; (b) no Company Product constitutes, contains or is produced by any “covered” foreign entity, “covered” equipment or other prohibited foreign-origin technology under any such Law or list, and each Company Product is designed, manufactured and assembled within the United States consistent with the representations made by the Company to its customers regarding domestic origin and NDAA compliance; (c) Schedule 3.24 sets forth the status of any application for, or listing on, the Defense Innovation Unit Blue UAS Cleared List and any comparable approved-product list, together with the current bill of materials and country-of-origin information for each Company Product; and (d) the Company has not received any written notice, and to the Knowledge of the Company there is no basis for any allegation, that any Company Product fails to satisfy any such Law or list requirement.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Export and 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3.25 of the Disclosure Schedules: (a) the Company is, and for the past five (5) years has been, in compliance in all material respects with all applicable export, import and trade-control Laws, including the Export Administration Regulations (including the classification of each Company Product under the appropriate Export Control Classification Number), the International Traffic in Arms Regulations (including registration with the Directorate of Defense Trade Controls, if applicable), the customs Laws administered by U.S. Customs and Border Protection, and the economic sanctions Laws administered by the Office of Foreign Assets Control; (b) the Company holds, and is in compliance with, all licenses, registrations, approvals and authorizations required for its export and import activities, all of which are set forth on Schedule 3.25; (c) the Company has not made any voluntary or directed disclosure to, and is not the subject of any pending or, to the Knowledge of the Company, threatened investigation or enforcement action by, any Governmental Authority with respect to any such Law; and (d) the Company has not engaged in any transaction or dealing, directly or indirectly, with any Person that is the target of U.S. economic sanctions or that appears on any restricted-party or denied-persons list, and has complied in all material respects with all applicable anti-boycott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Government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3.26 of the Disclosure Schedules sets forth a list of each Contract between the Company, on the one hand, and any Governmental Authority or any prime contractor or higher-tier subcontractor to a Governmental Authority, on the other hand (each, a “</w:t>
      </w:r>
      <w:r>
        <w:rPr>
          <w:rFonts w:ascii="Times New Roman;Times;Serif" w:hAnsi="Times New Roman;Times;Serif"/>
          <w:b/>
          <w:i/>
          <w:caps w:val="false"/>
          <w:smallCaps w:val="false"/>
          <w:sz w:val="20"/>
        </w:rPr>
        <w:t>Government Contract</w:t>
      </w:r>
      <w:r>
        <w:rPr>
          <w:rFonts w:ascii="Times New Roman;Times;Serif" w:hAnsi="Times New Roman;Times;Serif"/>
          <w:b w:val="false"/>
          <w:i w:val="false"/>
          <w:caps w:val="false"/>
          <w:smallCaps w:val="false"/>
          <w:sz w:val="20"/>
        </w:rPr>
        <w:t>”). Except as set forth on Schedule 3.26: (a) the Company is, and has been, in compliance in all material respects with the terms of each Government Contract and with all applicable Laws relating thereto, including the Federal Acquisition Regulation and the Defense Federal Acquisition Regulation Supplement, the cybersecurity and safeguarding requirements of DFARS 252.204-7012 and NIST SP 800-171, and the Truth in Negotiations Act and the Cost Accounting Standards, to the extent applicable; (b) neither the Company nor any of its directors or officers is, or has been, debarred, suspended or proposed for debarment or suspension or otherwise excluded from participation in any government program, and no facts exist that could reasonably be expected to give rise to any such action; (c) the Company has not received any cure notice, show-cause notice, notice of termination for default or written allegation of a violation of the False Claims Act or of defective pricing or mischarging, and has no undisclosed organizational conflict of interest; and (d) Schedule 3.26 identifies each Government Contract that requires the consent of, or novation by, any Governmental Authority in connection with the transactions contemplated hereby, including any novation required under FAR Part 42.12.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Product Warranty and Product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3.27 of the Disclosure Schedules: (a) Schedule 3.27 sets forth the standard terms and conditions of sale and the standard product warranties of the Company; (b) each Company Product has been designed, manufactured, sold and delivered in conformity in all material respects with all applicable contractual commitments, express and implied warranties and applicable Laws, and the Company has no material Liability for the replacement or repair thereof, or other Damages in connection therewith, in excess of any reserve therefor reflected in the Company Financial Statements; (c) there has been no epidemic, systemic or recurring defect in any Company Product and no recall, post-sale warning or similar field-corrective action with respect to any Company Product; and (d) there is no pending or, to the Knowledge of the Company, threatened Action against the Company alleging any defect in, or failure to warn with respect to, any Company Product or any breach of warranty in connection therewith.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3.28. </w:t>
      </w:r>
      <w:r>
        <w:rPr>
          <w:rFonts w:ascii="Times New Roman;Times;Serif" w:hAnsi="Times New Roman;Times;Serif"/>
          <w:b w:val="false"/>
          <w:i w:val="false"/>
          <w:caps w:val="false"/>
          <w:smallCaps w:val="false"/>
          <w:sz w:val="20"/>
          <w:u w:val="single"/>
        </w:rPr>
        <w:t>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3.28 of the Disclosure Schedules sets forth (a) the ten (10) largest customers of the Company and (b) the ten (10) largest suppliers of the Company, in each case by dollar volume for each of the two (2) most recently completed fiscal years and the interim period then ended, and identifies each supplier that is a sole or single source for any material product, component or service (including any component represented to be compliant under the NDAA or any other supply-chain or procurement-eligibility Law or list). Except as set forth on Schedule 3.28, within the twelve (12) months prior to the date hereof no such customer or supplier has terminated, cancelled or materially and adversely modified, or notified the Company in writing of its intention to terminate, cancel or materially and adversely modify, its relationship with the Company, and to the Knowledge of the Company no such customer or supplier intends to do so as a result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3.29. </w:t>
      </w:r>
      <w:r>
        <w:rPr>
          <w:rFonts w:ascii="Times New Roman;Times;Serif" w:hAnsi="Times New Roman;Times;Serif"/>
          <w:b w:val="false"/>
          <w:i w:val="false"/>
          <w:caps w:val="false"/>
          <w:smallCaps w:val="false"/>
          <w:sz w:val="20"/>
          <w:u w:val="single"/>
        </w:rPr>
        <w:t>Anti-Corruption.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to the Knowledge of the Company, each of its directors, officers, employees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 and the Company maintains internal controls reasonably designed to ensure compliance with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3.30. </w:t>
      </w:r>
      <w:r>
        <w:rPr>
          <w:rFonts w:ascii="Times New Roman;Times;Serif" w:hAnsi="Times New Roman;Times;Serif"/>
          <w:b w:val="false"/>
          <w:i w:val="false"/>
          <w:caps w:val="false"/>
          <w:smallCaps w:val="false"/>
          <w:sz w:val="20"/>
          <w:u w:val="single"/>
        </w:rPr>
        <w:t>Affiliate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3.30 of the Disclosure Schedules sets forth each Contract, arrangement, account, indebtedness or other obligation (including the shareholder notes and any accrued interest thereon) between the Company, on the one hand, and any Shareholder,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on the other hand. Except as set forth on Schedule 3.30, no Related Party (a) owns or has any interest in any asset used by the Company, (b) is indebted to, or has any amount owing to it from, the Company, or (c) is a party to any Contract with the Company, in each case other than the Employment Agreements and ordinary-course compensation for services as an employee or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3.31. </w:t>
      </w:r>
      <w:r>
        <w:rPr>
          <w:rFonts w:ascii="Times New Roman;Times;Serif" w:hAnsi="Times New Roman;Times;Serif"/>
          <w:b w:val="false"/>
          <w:i w:val="false"/>
          <w:caps w:val="false"/>
          <w:smallCaps w:val="false"/>
          <w:sz w:val="20"/>
          <w:u w:val="single"/>
        </w:rPr>
        <w:t>Inventory and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3.31 of the Disclosure Schedules: (a) the inventory of the Company consists of items of a quality and quantity usable and saleable in the ordinary course of business, is not obsolete, damaged or defective except to the extent of reserves established therefor in the Company Financial Statements in accordance with GAAP, and is owned by the Company free and clear of all Liens other than Permitted Liens; and (b) all accounts receivable of the Company represent bona fide transactions arising in the ordinary course of business, are not subject to any setoff or counterclaim except to the extent of reserves established therefor in the Company Financial Statements in accordance with GAAP, and to the Knowledge of the Company are collectible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3.32. </w:t>
      </w:r>
      <w:r>
        <w:rPr>
          <w:rFonts w:ascii="Times New Roman;Times;Serif" w:hAnsi="Times New Roman;Times;Serif"/>
          <w:b w:val="false"/>
          <w:i w:val="false"/>
          <w:caps w:val="false"/>
          <w:smallCaps w:val="false"/>
          <w:sz w:val="20"/>
          <w:u w:val="single"/>
        </w:rPr>
        <w:t>Aviation Regulatory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3.32 of the Disclosure Schedules: (a) the Company holds, and is in compliance in all material respects with, all Permits required under the Federal Aviation Regulations and the rules and regulations of the Federal Aviation Administration applicable to the design, production, marketing, sale and operation of its unmanned aircraft systems, including the applicable requirements of 14 C.F.R. Part 107 and the remote-identification requirements of 14 C.F.R. Part 89, all of which Permits are set forth on Schedule 3.32; and (b) the Company has not received any written notice from the Federal Aviation Administration alleging any material violation of, or asserting any material Liability under, any such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3.33. </w:t>
      </w:r>
      <w:r>
        <w:rPr>
          <w:rFonts w:ascii="Times New Roman;Times;Serif" w:hAnsi="Times New Roman;Times;Serif"/>
          <w:b w:val="false"/>
          <w:i w:val="false"/>
          <w:caps w:val="false"/>
          <w:smallCaps w:val="false"/>
          <w:sz w:val="20"/>
          <w:u w:val="single"/>
        </w:rPr>
        <w:t>CFIUS.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3.33 of the Disclosure Schedules sets forth whether the Company is a “TID U.S. business” within the meaning of the regulations of the Committee on Foreign Investment in the United States (“</w:t>
      </w:r>
      <w:r>
        <w:rPr>
          <w:rFonts w:ascii="Times New Roman;Times;Serif" w:hAnsi="Times New Roman;Times;Serif"/>
          <w:b/>
          <w:i/>
          <w:caps w:val="false"/>
          <w:smallCaps w:val="false"/>
          <w:sz w:val="20"/>
        </w:rPr>
        <w:t>CFIUS</w:t>
      </w:r>
      <w:r>
        <w:rPr>
          <w:rFonts w:ascii="Times New Roman;Times;Serif" w:hAnsi="Times New Roman;Times;Serif"/>
          <w:b w:val="false"/>
          <w:i w:val="false"/>
          <w:caps w:val="false"/>
          <w:smallCaps w:val="false"/>
          <w:sz w:val="20"/>
        </w:rPr>
        <w:t>”) set forth at 31 C.F.R. Part 800, including whether the Company produces, designs, tests, manufactures, fabricates or develops one or more “critical technologies,” performs functions with respect to “covered investment critical infrastructure,” or maintains or collects “sensitive personal data” of U.S. citizens, in each case as defined therein. Except as set forth on Schedule 3.33, the Company has not received any notice, inquiry or request for information from CFIUS.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 MERGER SUB X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SUB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Merger Sub X and Merger Sub XI hereby represent and warrant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is a company duly incorporated, validly existing and in good standing under the Laws of the State of Delaware and has the requisite corporate or limited liability company power and authority to own, operate, lease and hold its properties and assets and to carry on its business as and where such properties and assets are presently located and such business is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has all requisite corporate or limited liability company power and authority to execute and deliver this Agreement and the Ancillary Agreements to which Parent, Merger Sub X or Merger Sub XI is or will be a party, to perform its respective covenants and obligations hereunder and thereunder and to consummate the transactions contemplated hereby and thereby. The execution and delivery by each of Parent, Merger Sub X and Merger Sub XI of this Agreement and the Ancillary Agreements to which Parent, Merger Sub X or Merger Sub XI is or will be a party, the performance by it of its respective covenants and obligations hereunder and thereunder, and the consummation of the transactions contemplated hereby and thereby have been duly and validly authorized by the governing bodies of Merger Sub X and Merger Sub XI and, except if required by applicable Law or the rules of The Nasdaq Stock Market LLC, by the stockholders of Parent, and the filing of the First Certificates of Merger and the Second Certificates of Merger with the Secretary of State of the State of Delaware pursuant to the DGCL and the DLLCA, no other corporate action on the part of Parent, Merger Sub X or Merger Sub XI is necessary to authorize the execution and delivery by each of Parent, Merger Sub X and Merger Sub XI of this Agreement and the Ancillary Agreements to which it is or will be a party, the performance by it of its respective covenants and obligations hereunder and thereunder and/or the consummation of the transactions contemplated hereby and thereby. This Agreement and each of the Ancillary Agreements to which Parent, Merger Sub X or Merger Sub XI is or will be a party has been or will be duly executed and delivered by each of Parent, Merger Sub X and Merger Sub XI and, assuming the due authorization, execution and delivery by each of the other parties hereto or thereto, constitutes, or upon execution and delivery will constitute, a legal, valid and binding obligation of each of Parent, Merger Sub X and Merger Sub XI, enforceable against each of Parent, Merger Sub X and Merger Sub XI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each of Parent, Merger Sub X and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(i) result in a violation or breach of or conflict with the Organizational Documents of Parent, Merger Sub X or Merger Sub XI; (ii) conflict with, violate or constitute (with or without notice or lapse of time, or both) a violation of, in any material respect, any material Law applicable to Parent, Merger Sub X or Merger Sub XI or by which any property or asset of Parent, Merger Sub X or Merger Sub XI is bound; or (iii) require the delivery of any notice or consent under, result in a violation or breach of, conflict with any provision of, or constitute (with or without notice or lapse of time, or both) a default or give rise to any right of termination, acceleration or cancellation or loss of material benefit under, or accelerate the performance required by, or give rise to any obligation of Parent, Merger Sub X or Merger Sub XI to make any material payment under, any of the terms, conditions or provisions of any material Contract to which Parent, Merger Sub X or Merger Sub XI is a party or by which Parent, Merger Sub X or Merger Sub XI or any of their respective properties or assets are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each of Parent, Merger Sub X or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require any consent, approval or authorization of, or registration, qualification, declaration or filing with or notification to, any Governmental Authority, other than (i) the filing of the First Certificates of Merger and the Second Certificates of Merger with the Secretary of State of the State of Delaware pursuant to the DGCL and the DLLCA, and (ii) any other consents, approvals, authorizations, registrations, qualifications, declarations, filings, or notifications that, if not obtained, made, or given, would not have a material impact on the ability of Parent, Merger Sub X or Merger Sub XI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Merger Sub X and Merger Sub 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 Sub X and Merger Sub XI were formed solely for the purpose of engaging in the transactions contemplated hereby, have not engaged in any business activities or conducted any operations other than in connection with the transactions contemplated hereby, and will have no assets, liabilities or obligations other than those incident to their organization and the execution of this Agreement and the consummation of the transactions contemplated hereby. The authorized capital stock of Merger Sub X consists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shares of common stock, par value $0.00001 per share, all of which are issued and outstanding. All of the issued and outstanding shares of common stock of Merger Sub X have been duly authorized and validly issued and are fully paid and nonassessable and are owned, and as of the Effective Time will be owned, of record and beneficially by Parent, free and clear of any and all Liens. All of the outstanding membership interests of Merger Sub XI have been duly authorized and validly issued and are owned, and as of the Second Effective Time will be owned, of record and beneficially by Parent, free and clear of any and all Liens.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Parent, Merger Sub X, Merger Sub XI or any of their respective Affiliates in such a manner as to give rise to any valid claim against the Company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 of Rollover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Rollover Shares, when issued and delivered in accordance with the terms of this Agreement, will be duly authorized and validly issued, fully paid and nonassessable, and will be issued free and clear of any and all Liens (other than restrictions on transfer arising under applicable securities Laws or the Parent Stockholder Agreement). The issuance of the Rollover Shares will be in compliance with all applicable securities Laws and will not be subject to, or issued in violation of, any preemptive or similar right of any Person.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and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or otherwise expressly permitted or contemplated by this Agreement, or (y) with the prior written consent of Parent (which consent shall not be unreasonably withheld, delayed or conditioned), the Company shall (i) conduct its business in the ordinary course consistent with past practice, and (ii) use its commercially reasonable efforts to (A) preserve in all material respects the business organization of the Company, (B) preserve the current relationships of the Company with any Persons with which the Company has material business relations, and (C) retain the services of the present officers and key employees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action or omission by the Company with respect to matters specifically addressed by any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unless such action constitutes a breach of such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in the ordinary course of the Company’s business consistent with past practice, during the Interim Period, except (x) as required or otherwise expressly permitted or contemplated by this Agreement, or (y) with the prior written consent of Parent (which consent shall not be unreasonably withheld, delayed or conditioned), the Company shall not: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Organizational Documents;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dividends, or make any distributions or other payments in respect of its Equity Interests, (B) split, combine, recapitalize or reclassify any of its Equity Interests or issue or authorize or propose the issuance of any other securities in respect of, in lieu of or in substitution for its Equity Interests, or (C) purchase, redeem or otherwise acquire any of its Equity Interests or any outstanding Security Right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expenditures, capital additions, capital improvements or purchase of fixed assets;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amount of insurance coverage provided by the Insurance Policies;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transfer, lease, mortgage, encumber or otherwise dispose of, or agree to sell, transfer, lease, mortgage, encumber or otherwise dispose of, any properties or assets except (i) in the ordinary course of business consistent with past practice, or (ii) pursuant to any Material Contract;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adopt, amend, terminate or make any other change to any Employee Benefit Plan, increase the compensation payable to any employee (including any increase pursuant to any bonus, profit-sharing or other incentive plan or commitment), or hire or fire any officer or any employee whose annual base salary is in excess of $75,000;</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merge into or with or consolidate with, or acquire the business or assets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purchase any securities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(C) adopt or change any method of Tax accounting, (D) file any amended Tax Return, (E) enter into any closing agreement, (F) settle any Tax claim or assessment, (G) surrender any right to claim a Tax refund, offset or other reduction in Tax liability, (H) consent to any extension or waiver of the limitations period applicable to any Tax claim or assessment, (I) fail to file any Tax Return or pay any Tax (including any estimated Tax) when due and payable, or (J) in each case, take any other similar action or agree to take any such action relating to the filing of any Tax Return or the payment of any Tax;</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amend, modify, terminate, novate or assign, or consent to any change of control or novation of, any Material Contract (including any Government Contract), or enter into any Contract that would be a Material Contract had such Contract been entered into by the Company prior to the date hereof;</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settle any Action or file any motions, orders, briefs or settlement agreements in any proceeding before any Governmental Authority or any arbitrator;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sell, license, transfer, mortgage, pledge, encumber, abandon or permit to lapse or expire any Company Intellectual Property, except for non-exclusive licenses granted to or from third parties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maintain its books and records other than in the usual, regular and ordinary manner on a basis consistent with prior periods or make any change in any of its accounting methods or practices;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change, modify or qualify the bill of materials, the suppliers or the country of origin for any component or part used in any Company Product that is, or is represented to be, compliant under the NDAA or any other supply-chain, country-of-origin or procurement-eligibility Law or list;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make any payment, distribution or loan to, forgive any obligation of, or enter into, amend or modify any Contract or arrangement with, any Shareholder or any director, officer, manager or Affiliate of the Company, other than the payment of compensation and benefits to employees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propose or adopt a plan of complete or partial liquidation, dissolution, merger, consolidation, restructuring, recapitalization or other reorganization; 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agree or commit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Agreement to the contrary, nothing contained in this Agreement shall (i) give Parent, Merger Sub X or Merger Sub XI, directly or indirectly, the right to control or direct the operations of the Company prior to the Effective Time, or (ii) require Parent or the Company to take or refrain from taking any action that would result in a violation of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following execution and delivery of this Agreement and immediately prior to the Closing, (a) the Shareholders shall execute and deliver, in accordance with the DGCL and the Organizational Documents of the Company and in their capacity as the shareholders of the Company, a written consent adopting this Agreement in a form reasonably acceptable to Parent and Shareholder Representative, and, promptly thereafter, deliver to Parent a copy of such written consent, and (b) Parent shall execute and deliver, in accordance with the DGCL, the DLLCA, and the Organizational Documents of Merger Sub X, Merger Sub XI and the Surviving Corporation and in its capacity as the sole stockholder of Merger Sub X and the Surviving Corporation and the sole member of Merger Sub XI, a written consent adopting this Agreement in a form reasonably acceptable to the Company and, promptly thereafter, deliver to the Company a copy of such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Interim Period, the Company shall, and shall cause each of its officers, employees and other Representatives to, grant Parent and its Representatives reasonable access, during normal business hours upon reasonable advance notice, to the facilities, properties, key employees, books and records of the Company as from time to time may be reasonably requested by Parent in writing.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Interim Period, the Company and the Shareholder shall not, and the Company and the Shareholder shall not permit any of their respective Representatives to, directly or indirectly, (i) solicit, initiate, seek, encourage, promote, formally approve or support any Acquisition Proposal, (ii) furnish any non-public information regarding the Company to any Person concerning a possible Acquisition Proposal, or (iii) participate in any discussions or negotiations with, or enter into any agreements or other instruments (whether or not binding) regarding any Acquisition Proposal. The Company and the Shareholder shall immediately cease and cause to be terminated, and shall cause their respective Representatives to immediately cease and cause to be terminated, all existing discussions or negotiations with any Persons conducted heretofore with respect to, or that could lead to, an Acquisition Proposal.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all times during the Interim Period, the Company and the Shareholders shall promptly notify Parent if the Company, the Shareholder or any of their respective Representatives receives any communication, offer or proposal regarding or relating to a potential Acquisition Proposal, which notice shall include the identity of the party making any such communication, offer or proposal, the specific terms of such communication, offer or proposal, as the case may be (including a copy of any written material and electronic communications received from such party), and such other information related thereto as Parent may reasonably request.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Shareholders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Efforts to Consummate the Mergers.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this Agreement, each party hereto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which are required for or in connection with the consummation of the Mergers and the other transactions contemplated hereby and by the Ancillary Agreements, (b) taking any and all reasonable actions necessary to satisfy all of the conditions to each party’s obligations hereunder as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by the terms hereof to be executed and delivered by such party on or prior to the Closing, in each case in order to consummate the Mergers and the other transactions contemplated 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Public Announcements.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Shareholders nor any of their respective Representatives shall issue any statement or communication to any third party (other than its agents that are bound by confidentiality restrictions) regarding the subject matter of this Agreement or the transactions contemplated hereby without the prior written consent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restrictions in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prevent any Person from complying with applicable Law compelling any such statement or communication (which statements or communications will contain no more information regarding the subject matter of this Agreement or the transactions contemplated hereby than is so legally required to be disclosed). Neither Parent nor any of its Representatives shall issue any statement or communication to any third party (other than its agents that are bound by confidentiality restrictions) regarding the subject matter of this Agreement or the transactions contemplated hereby without the prior written consent of the Company (not to be unreasonably withheld, conditioned or delayed); provided, however, that the foregoing restrictions shall not prevent Parent from complying with applicable Law or the rules of The Nasdaq Stock Market LLC. After the Effective Time, Parent shall not be restricted from issuing any statement or communication to any third party, except that Parent shall use commercially reasonable efforts to consult with the Shareholder Representative in advance regarding the content of any public announcement that specifically names any Shareholder.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Tax Matters.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Tax Returns of the Company for any Pre-Closing Tax Period that (A) constitute a federal, state or municipal income Tax Return, (B) are required to be filed after the Closing Date and (C) do not constitute a Straddle Period (collectively, the “</w:t>
      </w:r>
      <w:r>
        <w:rPr>
          <w:rFonts w:ascii="Times New Roman;Times;Serif" w:hAnsi="Times New Roman;Times;Serif"/>
          <w:b/>
          <w:i/>
          <w:caps w:val="false"/>
          <w:smallCaps w:val="false"/>
          <w:sz w:val="20"/>
        </w:rPr>
        <w:t>Pre-Closing Shareholder Tax Returns</w:t>
      </w:r>
      <w:r>
        <w:rPr>
          <w:rFonts w:ascii="Times New Roman;Times;Serif" w:hAnsi="Times New Roman;Times;Serif"/>
          <w:b w:val="false"/>
          <w:i w:val="false"/>
          <w:caps w:val="false"/>
          <w:smallCaps w:val="false"/>
          <w:sz w:val="20"/>
        </w:rPr>
        <w:t>”), the Shareholder Representative shall prepare and file or cause to be prepared and filed such Pre-Closing Shareholder Tax Returns in accordance with the prior positions and practices of the Company, unless otherwise required pursuant to applicable Law. The Shareholder Representative shall provide each Pre-Closing Shareholder Tax Return to Parent no later than thirty (30) days before the due date (after giving effect to any applicable extensions of time for filing) for such Pre-Closing Shareholder Tax Returns for Parent’s review, comment and consent (which consent shall not be unreasonably withheld, conditioned or delayed).</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Tax Returns of the Company that either (A) relate to a Pre-Closing Tax Period and are not filed by the Shareholder Representative pursuant to </w:t>
      </w:r>
      <w:r>
        <w:rPr>
          <w:rFonts w:ascii="Times New Roman;Times;Serif" w:hAnsi="Times New Roman;Times;Serif"/>
          <w:b w:val="false"/>
          <w:i w:val="false"/>
          <w:caps w:val="false"/>
          <w:smallCaps w:val="false"/>
          <w:sz w:val="20"/>
          <w:u w:val="single"/>
        </w:rPr>
        <w:t>Section 5.6(a)(i)</w:t>
      </w:r>
      <w:r>
        <w:rPr>
          <w:rFonts w:ascii="Times New Roman;Times;Serif" w:hAnsi="Times New Roman;Times;Serif"/>
          <w:b w:val="false"/>
          <w:i w:val="false"/>
          <w:caps w:val="false"/>
          <w:smallCaps w:val="false"/>
          <w:sz w:val="20"/>
        </w:rPr>
        <w:t xml:space="preserve"> or (B) include a Straddle Period and, in either case, such Tax Return could give rise to an indemnification obligation by the Shareholder Representative pursuant to this Agreement (such Tax Returns, “</w:t>
      </w:r>
      <w:r>
        <w:rPr>
          <w:rFonts w:ascii="Times New Roman;Times;Serif" w:hAnsi="Times New Roman;Times;Serif"/>
          <w:b/>
          <w:i/>
          <w:caps w:val="false"/>
          <w:smallCaps w:val="false"/>
          <w:sz w:val="20"/>
        </w:rPr>
        <w:t>Parent Tax Returns</w:t>
      </w:r>
      <w:r>
        <w:rPr>
          <w:rFonts w:ascii="Times New Roman;Times;Serif" w:hAnsi="Times New Roman;Times;Serif"/>
          <w:b w:val="false"/>
          <w:i w:val="false"/>
          <w:caps w:val="false"/>
          <w:smallCaps w:val="false"/>
          <w:sz w:val="20"/>
        </w:rPr>
        <w:t xml:space="preserve">”), Parent shall prepare and file or cause or cause to be prepared and filed such Parent Tax Returns in accordance with the prior positions and practices of the Company, unless otherwise required pursuant to applicable Law. Parent shall provide the Parent Tax Returns to the Shareholder (x) for income Tax Returns, no later than thirty (30) days before the due date (after giving effect to any applicable extensions of time for filing) for such Parent Tax Returns and (y) for all other Parent Tax Returns no later than thirty (30) days before the due date for such Parent Tax Returns (after giving effect to any applicable extensions of time for filing), in each case, for the Shareholder’ review, comment and consent (which consent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failure by Parent to timely provide Parent Tax Returns to the Shareholder Representative shall not relieve the Shareholder Representative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such Parent Tax Return shall be final and binding on the Shareholders and Parent, unless, within ten (10) days after the date of receipt by the Shareholder Representative of such Parent Tax Return, the Shareholder Representative deliver to Parent a written request for changes to such Parent Tax Return. If the Shareholder Representative delivers such a request, the Shareholder Representative and Parent shall undertake in good faith to resolve the issues raised in such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no event shall any dispute preclude Parent from filing the Parent Tax Return on the due date (including any extension thereof) for such Tax Return.</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connection with the preparation of Tax Returns under this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the determination of Closing Net Working Capital, the determination of Indemnified Taxes, and any other matters related to Tax, Parent and the Shareholders agree that:</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Taxes based on income, receipts or payroll of the Company that are payable with respect to a Straddle Period, the portion of such Taxes allocable to (1) the Pre-Closing Tax Period, for which the Shareholders are responsible, and (2) the portion of the Straddle Period beginning on the day next succeeding the Closing Date (the “</w:t>
      </w:r>
      <w:r>
        <w:rPr>
          <w:rFonts w:ascii="Times New Roman;Times;Serif" w:hAnsi="Times New Roman;Times;Serif"/>
          <w:b/>
          <w:i/>
          <w:caps w:val="false"/>
          <w:smallCaps w:val="false"/>
          <w:sz w:val="20"/>
        </w:rPr>
        <w:t>Post-Closing Tax Period</w:t>
      </w:r>
      <w:r>
        <w:rPr>
          <w:rFonts w:ascii="Times New Roman;Times;Serif" w:hAnsi="Times New Roman;Times;Serif"/>
          <w:b w:val="false"/>
          <w:i w:val="false"/>
          <w:caps w:val="false"/>
          <w:smallCaps w:val="false"/>
          <w:sz w:val="20"/>
        </w:rPr>
        <w:t>”), for which Parent is responsible, shall be determined on the basis of a deemed closing at the end of the Closing Date of the books and records of the Company, provided that exemptions, allowances or deductions that are calculated on an annual basis (including depreciation and amortization deductions), other than with respect to property placed in service after the Closing, shall be allocated between the Pre-Closing Tax Period and the Post-Closing Tax Period in proportion to the number of days in each period; and</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any Taxes of the Company (other than Taxes described in </w:t>
      </w:r>
      <w:r>
        <w:rPr>
          <w:rFonts w:ascii="Times New Roman;Times;Serif" w:hAnsi="Times New Roman;Times;Serif"/>
          <w:b w:val="false"/>
          <w:i w:val="false"/>
          <w:caps w:val="false"/>
          <w:smallCaps w:val="false"/>
          <w:sz w:val="20"/>
          <w:u w:val="single"/>
        </w:rPr>
        <w:t>Section 5.6(a)(iv)(A)</w:t>
      </w:r>
      <w:r>
        <w:rPr>
          <w:rFonts w:ascii="Times New Roman;Times;Serif" w:hAnsi="Times New Roman;Times;Serif"/>
          <w:b w:val="false"/>
          <w:i w:val="false"/>
          <w:caps w:val="false"/>
          <w:smallCaps w:val="false"/>
          <w:sz w:val="20"/>
        </w:rPr>
        <w:t xml:space="preserve">) that are payable with respect to a Straddle Period, the portion of such Taxes allocable to the Pre-Closing Tax Period shall be equal to the product of all such Taxes multiplied by a fraction (1) the numerator of which is the number of days in the Straddle Period from the commencement of the Straddle Period through and including the Closing Date and (2) the denominator of which is the number of days in the entire Straddle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appropriate adjustments shall be made to reflect specific events that can be identified and specifically allocated as occurring on or prior to the Closing Date (in which case the Shareholders shall be responsible for any Taxes related thereto) or occurring after the Closing Date (in which case, Parent, the Surviving Corporation and/or the Surviving Entity shall be responsible for any Taxes related thereto).</w:t>
      </w:r>
    </w:p>
    <w:p>
      <w:pPr>
        <w:pStyle w:val="TextBody"/>
        <w:bidi w:val="0"/>
        <w:ind w:left="216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Contests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Governmental Authority asserts a claim for Taxes against Parent, the Surviving Corporation and/or the Surviving Entity or begins an examination or audit with respect to which the Shareholders would have an indemnification obligations pursuant to this Agreement (any such claim or proceeding, a “</w:t>
      </w:r>
      <w:r>
        <w:rPr>
          <w:rFonts w:ascii="Times New Roman;Times;Serif" w:hAnsi="Times New Roman;Times;Serif"/>
          <w:b/>
          <w:i/>
          <w:caps w:val="false"/>
          <w:smallCaps w:val="false"/>
          <w:sz w:val="20"/>
        </w:rPr>
        <w:t>Tax Claim</w:t>
      </w:r>
      <w:r>
        <w:rPr>
          <w:rFonts w:ascii="Times New Roman;Times;Serif" w:hAnsi="Times New Roman;Times;Serif"/>
          <w:b w:val="false"/>
          <w:i w:val="false"/>
          <w:caps w:val="false"/>
          <w:smallCaps w:val="false"/>
          <w:sz w:val="20"/>
        </w:rPr>
        <w:t xml:space="preserve">”), then the party hereto first receiving notice (whether directly, or indirectly through an Affiliate of such party) of such Tax Claim shall promptly provide to the other parties hereto written notice specifying in reasonable detail the basis for such Tax Claim and shall include a copy of the relevant portion of any correspondence received from the Governmental Authority in respect of such Tax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by Parent to notify the Shareholder Representative shall not relieve the Shareholders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Shareholder Representative shall control the defense or prosecution of any Tax Claim for a Pre-Closing Tax Period that (y) does not include a Straddle Period and (z) is commenced within four (4) years subsequent to the Closing Date (each, a “</w:t>
      </w:r>
      <w:r>
        <w:rPr>
          <w:rFonts w:ascii="Times New Roman;Times;Serif" w:hAnsi="Times New Roman;Times;Serif"/>
          <w:b/>
          <w:i/>
          <w:caps w:val="false"/>
          <w:smallCaps w:val="false"/>
          <w:sz w:val="20"/>
        </w:rPr>
        <w:t>Shareholders’ Pre-Closing Tax Claim</w:t>
      </w:r>
      <w:r>
        <w:rPr>
          <w:rFonts w:ascii="Times New Roman;Times;Serif" w:hAnsi="Times New Roman;Times;Serif"/>
          <w:b w:val="false"/>
          <w:i w:val="false"/>
          <w:caps w:val="false"/>
          <w:smallCaps w:val="false"/>
          <w:sz w:val="20"/>
        </w:rPr>
        <w:t>”). For any Shareholders’ Pre-Closing Tax Claim, (A) the Shareholder Representative shall defend or prosecute the Shareholders’ Pre-Closing Tax Claim diligently and in good faith; (B) the Shareholder Representative shall not, without the prior written consent of Parent, which consent shall not be unreasonably withheld, conditioned, or delayed, enter into any compromise or settlement of such Shareholders’ Pre-Closing Tax Claim; (C) the Shareholder Representative shall inform Parent of all material developments and events relating to such Shareholders’ Pre-Closing Tax Claim (including providing to Parent copies of relevant portions of all written materials relating to such Shareholders’ Pre-Closing Tax Claim); (D) Parent shall provide or cause to be provided to the Shareholder Representative any information reasonably requested by the Shareholder Representative relating to such Shareholders’ Pre-Closing Tax Claim and Parent shall otherwise cooperate in good faith with the Shareholder Representative and their authorized Representatives in order to contest effectively such Shareholders’ Pre-Closing Tax Claim; and (E) Parent or its authorized Representatives shall be entitled, at the expense of Parent, to attend and participate in, but not control, all conferences, meetings, and proceedings relating to such Shareholders’ Pre-Closing Tax Claim.</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Parent shall control the defense or prosecution of any Tax Claim other than a Shareholders’ Pre-Closing Tax Claim. In the event such Tax Claim relates to a Pre-Closing Tax Period or a Straddle Period and could give rise to an indemnification obligation by the Shareholders pursuant to this Agreement (each, a “</w:t>
      </w:r>
      <w:r>
        <w:rPr>
          <w:rFonts w:ascii="Times New Roman;Times;Serif" w:hAnsi="Times New Roman;Times;Serif"/>
          <w:b/>
          <w:i/>
          <w:caps w:val="false"/>
          <w:smallCaps w:val="false"/>
          <w:sz w:val="20"/>
        </w:rPr>
        <w:t>Parent Tax Claim</w:t>
      </w:r>
      <w:r>
        <w:rPr>
          <w:rFonts w:ascii="Times New Roman;Times;Serif" w:hAnsi="Times New Roman;Times;Serif"/>
          <w:b w:val="false"/>
          <w:i w:val="false"/>
          <w:caps w:val="false"/>
          <w:smallCaps w:val="false"/>
          <w:sz w:val="20"/>
        </w:rPr>
        <w:t>”) (A) Parent shall defend or prosecute the Parent Tax Claim diligently and in good faith; (B) Parent shall not, without the prior written consent of the Shareholder Representative, which consent shall not be unreasonably withheld, conditioned, or delayed, enter into any compromise or settlement of such Parent Tax Claim; (C) Parent shall inform the Shareholder Representative of all material developments and events relating to such Parent Tax Claim (including providing to the Shareholder Representative copies of relevant portions of all written materials relating to such Parent Tax Claim); (D) the Shareholder Representative shall provide or cause to be provided to Parent any information reasonably requested by Parent relating to such Parent Tax Claim and the Shareholder shall otherwise cooperate in good faith with Parent and its authorized Representatives in order to contest effectively such Parent Tax Claim; and (E) the Shareholder Representative or their authorized Representatives shall be entitled, at the expense of the Shareholder, to attend and participate in, but not control, all conferences, meetings, and proceedings relating to such Parent Tax Claim.</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Shareholder Representative, Parent, the Surviving Corporation and the Surviving Entity shall cooperate fully, as and to the extent reasonably requested by any party to this Agreement, in connection with the filing of any Tax Return, in any audit, litigation or other Action with respect to Taxes. Such cooperation shall include the retention and (upon any other party’s request) the provision of records and information that are reasonably relevant to any such audit, litigation or other proceeding and making employees available on a mutually convenient basis to provide additional information and explanation of any materials provided hereunder. The Shareholder Representative, Surviving Corporation and the Surviving Entity agree to retain all books and records with respect to Tax matters pertinent to the Company and which relate to a Pre-Closing Tax Period until the expiration of the applicable statute of limitations (and, if notified in writing by another party, any extensions thereof), and to abide by all record retention agreements entered into with any Governmental Authority. The parties agree to give each other party reasonable written notice prior to transferring, destroying or discarding any such books and records, and if another party so requests, to give such other party possession of such books and records until the expiration of the applicable statute of limitations (and, if notified in writing by another party, any extensions thereof). The Shareholder Representative, Parent, Surviving Corporation and the Surviving Entity further agree, upon request, to use their commercially reasonable efforts to obtain any certificate or other document from any Governmental Authority or any other Person or take any other action as may be necessary to mitigate, reduce or eliminate any Tax that could be imposed on any party hereto (including with respect to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and other similar Taxes, and all conveyance fees, recording charges and other similar fees and charge (including any penalties and interest) incurred in connection with the transactions contemplated hereby (such Taxes,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Shareholders. Parent shall pay such Transfer Taxes when due, and Parent shall file all necessary Tax Returns and other documentation with respect to such Taxes. The Shareholder Representative and Parent shall cooperate in timely making all filings, returns, reports and forms as necessary or appropriate to comply with the provisions of all applicable Laws in connection with the payment of such Transfer Taxes, and shall cooperate in good faith to minimize, to the fullest extent possible under such Laws, the amount of any such Transfer Taxes payable in connection therewith.</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 Free Reorganization Matters</w:t>
      </w:r>
      <w:r>
        <w:rPr>
          <w:rFonts w:ascii="Times New Roman;Times;Serif" w:hAnsi="Times New Roman;Times;Serif"/>
          <w:b w:val="false"/>
          <w:i w:val="false"/>
          <w:caps w:val="false"/>
          <w:smallCaps w:val="false"/>
          <w:sz w:val="20"/>
        </w:rPr>
        <w:t>. The parties intend that, for United States federal income Tax purposes, the transactions contemplated hereby, including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parties further intend that the Cash Merger Consideration, together with any other consideration that does not constitute Parent Common Stock, shall not exceed twenty percent (20%) of the aggregate Merger Consideration, so as to preserve the qualification of the Mergers as a 368 Transaction, and no party shall take any position inconsistent with such qualification except as required by a final determination within the meaning of Section 1313(a)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Non-Competition; Non-Solicitation; Confidentiality.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Shareholder acknowledges and agrees that, during the Restrictive Period, the Shareholder will not, in all or any part of the Restricted Territory, whether on its own account or in association or conjunction with or on behalf of any other Person, directly or indirectly, and whether as an employee, director, officer, joint venture, partner, stockholder, lender, principal, agent, consultant, advisor, owner, investor or in any other capacity whatsoever, (i) be employed by; (ii) carry on or be engaged in; (iii) perform services in respect of; (iv) lend money to or otherwise invest in; (v) guarantee the debts or obligations of; or (vi) be concerned with or interested in, any other business or undertaking that is the same as or similar to, or competitive in any way with, the Business or that offers products or services that are the same as or similar to, or are competitive in any way with, those offered by the Business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shall prohibit the Shareholder from being a passive owner of not more than two percent (2%) of the outstanding stock of any class of a corporation which is publicly traded so long as the Shareholder, as applicable, does not have any active participation in the business of such corporation.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covenants and agrees that, during the Restrictive Period, the Shareholder will not, directly or indirectly, either as an individual, employee, consultant, associate, broker, director, officer, owner, investor, agent or stockholder or otherwise on behalf of any Person:</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canvass or solicit the business of (or procure or assist the canvassing or soliciting or the business of) any customer, prospective customer, supplier or prospective supplier for any purpose that is competitive with the Business; or</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supply (or procure or assist the supply of) any goods or services to any customer, prospective customer, supplier or prospective supplier for any purpose that is competitive with the Business.</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Shareholder covenants and agrees that, during the Restrictive Period, the Shareholder will not, directly or indirectly, in any capacity whatsoever, alone or in connection with any Person, (i) employ, engage, offer employment or engagement to or solicit the employment of engagement of or otherwise entice away from the employment or engagement of the Surviving Entity or any of its Affiliates, any individual who is employed or engaged by the Company or any of its Affiliates, whether or not such individual would commit any breach of his or her contract or terms of employment or engagement by leaving the employ or the engagement of the Surviving Entity or any of its Affiliates; or (ii) procure or assist any Person to employ, engage, offer employment or engagement or solicit the employment or engagement of any individual who is employed or engaged by the Surviving Entity or any of its Affiliates or otherwise entice away from the employment or engagement of the Surviving Entity or any of its Affiliates any such individual;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Shareholder will not be in breach of this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 xml:space="preserve"> as a result of any solicitation that occurs as a result of general advertisements not specifically directed at such employees, including with respect to any hiring of such employees that respond to such general advertisements.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Shareholder will, on its own behalf or on behalf of or in connection with any other Person, directly or indirectly, in any capacity whatsoever including as an employer, employee, principal, agent, joint venture, partner, stockholder or other equity holder, independent contractor, licensor, licensee, franchiser, franchisee, distributor, consultant, supplier or trustee or by and through any Person or otherwise, persuade or attempt to persuade any customer, prospective customer, supplier or prospective supplier or employee of the Surviving Entity or any of its Affiliates to discontinue or adversely alter such Person’s relationship with the Surviving Entity or any of its Affiliates.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Restrictive Period, the Shareholder will, and will cause its Affiliates and Representatives to, treat and hold in confidence all of the Confidential Information and not use or disclose any of the Confidential Information except as is reasonably required in connection with enforcing the Shareholder’s rights under this Agreement, preparing Tax Returns or conducting Tax audits or similar proceedings. In the event that either Shareholder or one of its Affiliates or Representatives is requested or required (by oral question or request for information or documents in any legal proceeding, interrogatory, subpoena, civil investigative demand or similar process) under applicable Law to disclose any Confidential Information, the Shareholder will notify Parent promptly of the request or requirement so that Parent may seek an appropriate protective Order or waive compliance with the provisions of this </w:t>
      </w:r>
      <w:r>
        <w:rPr>
          <w:rFonts w:ascii="Times New Roman;Times;Serif" w:hAnsi="Times New Roman;Times;Serif"/>
          <w:b w:val="false"/>
          <w:i w:val="false"/>
          <w:caps w:val="false"/>
          <w:smallCaps w:val="false"/>
          <w:sz w:val="20"/>
          <w:u w:val="single"/>
        </w:rPr>
        <w:t>Section 5.7(e)</w:t>
      </w:r>
      <w:r>
        <w:rPr>
          <w:rFonts w:ascii="Times New Roman;Times;Serif" w:hAnsi="Times New Roman;Times;Serif"/>
          <w:b w:val="false"/>
          <w:i w:val="false"/>
          <w:caps w:val="false"/>
          <w:smallCaps w:val="false"/>
          <w:sz w:val="20"/>
        </w:rPr>
        <w:t xml:space="preserve">. If, in the absence of a protective Order or the receipt of a waiver hereunder, the Shareholder or one of its Affiliates or Representatives is, on the advice of counsel, compelled to disclose any Confidential Information to any tribunal or else stand liable for contempt, the Shareholder or its Affiliate or Representative, as applicable, may disclose the Confidential Information to the tribunal;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Shareholder shall use its commercially reasonable efforts to obtain, at the reasonable request and expense of Parent, an Order or other assurance that confidential treatment will be accorded to the Confidential Information.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Shareholder acknowledge that (i) the Shareholder are selling to Parent the shares of Common Stock in connection with the transactions contemplated by this Agreement, (ii) the Shareholder, as direct equity owners of the Company, benefit directly from the transactions contemplated by this Agreement, including the Mergers; and (iii) the covenants and agreements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were a material inducement to Parent to enter into this Agreement and to perform its obligations 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It is recognized and hereby acknowledged by the parties that a breach or violation by any party hereto of the covenants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Protective Covenants</w:t>
      </w:r>
      <w:r>
        <w:rPr>
          <w:rFonts w:ascii="Times New Roman;Times;Serif" w:hAnsi="Times New Roman;Times;Serif"/>
          <w:b w:val="false"/>
          <w:i w:val="false"/>
          <w:caps w:val="false"/>
          <w:smallCaps w:val="false"/>
          <w:sz w:val="20"/>
        </w:rPr>
        <w:t xml:space="preserve">”) may cause irreparable harm and damage to the other parties hereto in a monetary amount that may be difficult to ascertain. As a result, each party recognizes and hereby acknowledges that the other parties hereto shall be entitled to an injunction from any court of competent jurisdiction enjoining and restraining any breach or violation of any or all of the Protective Covenants by any other party hereto and that such right to injunction shall be cumulative and in addition to whatever other rights or remedies such party may possess hereunder, at law or in equity. Nothing contained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construed to prevent the parties hereto from seeking and recovering Damages sustained by such parties as a result of any breach or violation by any other party hereto of any of the covenants or agreements contained in the Protective Covenants.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at the time of enforcement of any of the Protective Covenants,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and directed to revise the restrictions contained herein to cover the maximum period, scope and area permitted by applicable Law. The Shareholder have consulted with legal counsel regarding the Protective Covenants and based on such consultation has determined and hereby acknowledges that the Protective Covenants are reasonable in terms of duration, scope and area restrictions and are necessary to protect the legitimate, protectable interests of the Surviving Entity, the goodwill of the business of the Surviving Entity and its Affiliates (including Parent) and the substantial investment in the Company made by Parent pursuant to this Agreement.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Release.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and as a condition to the Shareholder’s right to receive the consideration which is due to the Shareholder in accordance with this Agreement, and for other good and valuable consideration, the sufficiency of which Shareholder hereby agrees and acknowledges, effective for all purposes as of the Effective Time, Shareholder, on behalf of itself and each of the Shareholder’s executors, administrators, estate, successors, heirs and assigns, voluntarily, knowingly and irrevocably releases and forever discharges the Company, Parent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and all of the foregoing arising out of or relating to the Shareholder’s capacity as a shareholder of the Company, but in each case, except for (A) any right, claim or entitlement of the Shareholder under this Agreement or any Ancillary Agreement, and (B) any claim arising from fraud or willful misconduct by any officer or director of the Company prior to the Effective Time. Shareholder acknowledges that there is a risk that, after the execution of this Agreement or the Closing, Shareholder will discover, incur or suffer claims which were unknown or unanticipated as of the date or this Agreement or the Closing Date based solely on facts that existed or acts or omissions that occurred prior to the Closing Date (“</w:t>
      </w:r>
      <w:r>
        <w:rPr>
          <w:rFonts w:ascii="Times New Roman;Times;Serif" w:hAnsi="Times New Roman;Times;Serif"/>
          <w:b/>
          <w:i/>
          <w:caps w:val="false"/>
          <w:smallCaps w:val="false"/>
          <w:sz w:val="20"/>
          <w:u w:val="single"/>
        </w:rPr>
        <w:t>Unknown Claims</w:t>
      </w:r>
      <w:r>
        <w:rPr>
          <w:rFonts w:ascii="Times New Roman;Times;Serif" w:hAnsi="Times New Roman;Times;Serif"/>
          <w:b w:val="false"/>
          <w:i w:val="false"/>
          <w:caps w:val="false"/>
          <w:smallCaps w:val="false"/>
          <w:sz w:val="20"/>
        </w:rPr>
        <w:t xml:space="preserve">”), and which, if known by the Shareholder on the date of this Agreement or on the Closing Date, may have materially affected Shareholder’s decision to enter into this Agreement and/or grant the releases under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Shareholder acknowledges and agrees that, by reason of entering into this Agreement, the Shareholder is assuming the risk of all Unknown Claims released in and by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The Shareholder shall be deemed to relinquish all Unknown Claims, to the extent applicable, and to the full extent permitted by law, the provisions, rights, and benefits conferred by any law of any state or territory of the United States, or principle of common law, which is similar, comparable, or equivalent to California Civil Code Section 1542, which provides: “A GENERAL RELEASE DOES NOT EXTEND TO CLAIMS WHICH THE CREDITOR OR RELEASING PARTY DOES NOT KNOW OR SUSPECT TO EXIST IN HIS OR HER FAVOR AT THE TIME OF EXECUTING THE RELEASE, THAT IF KNOWN BY HIM OR HER, WOULD HAVE MATERIALLY AFFECTED HIS OR HER SETTLEMENT WITH THE DEBTOR OR RELEASED PARTY.” Shareholder, on behalf of itself and its Affiliates, hereby irrevocably agrees to refrain from directly or indirectly asserting any claim or demand or commencing (or causing to be commenced) any suit, action, or proceeding of any kind, in any court or before any tribunal, against the Company, Parent and each of their respective officers, directors, managers, employees and Affiliates based upon any Unknown Claims released pursuant to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Nothing set forth in this Section 5.8 shall in any way limit or be construed to limit the indemnification provided to Shareholder indemnified Parties under Section 7.3.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Confidentiality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acknowledges that the information provided to it in connection with this Agreement and the transactions contemplated hereby is subject to the terms of the Confidentiality Agreement, the terms of which are incorporated herein by reference. From and after the date of this Agreement, each of the parties agrees it shall be bound by and comply with the obligations of the Confidentiality Agreement. From and as of the Closing, the Confidentiality Agreement shall be deemed to have been terminated by the parties thereto and shall no longer be binding.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Company Disclosure Letter.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Shareholder Representative shall deliver to Parent, not later than ten (10) Business Days after the Execution of this Agreement, a draft of the Disclosure Schedules. No later than ten (10) Business Days after the execution of this Agreement the Company and the Shareholder Representative shall deliver to Parent the draft Disclosure Schedules, the Company and the Shareholder Representative shall consider in good faith the comments of Parent and its Representatives to such draft Disclosure Schedules. No later than August 7, 2026, the Company and the Shareholder shall deliver to Parent the final Disclosure Schedules. From time to time following the execution and delivery of this Agreement and prior to the Closing, the Company may supplement or update the Disclosure Schedules to reflect events, changes or circumstances arising after the date hereof; provided, however, that no such supplement or update shall be deemed to (a) modify or cure any representation or warranty that was inaccurate or breached as of the date hereof, (b) prevent or limit Parent’s ability to assert that any condition to Closing set forth in Section 6.1(a) has not been satisfied to the extent such supplement or update relates to a matter that would reasonably be expected to constitute a breach of a representation or warranty, or (c) limit or otherwise affect the rights of Parent Indemnified Parties to seek indemnification pursuant to Article VII with respect to any such matter. Without limiting the foregoing, any matter disclosed in any such supplement or update that would reasonably be expected to result in a breach of any representation or warranty shall be taken into account in determining whether the conditions set forth in Section 6.1(a)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Financial Statements; Audit Cooperation.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of this Agreement, the Company and the Shareholder Representative shall, and shall cause the Company’s officers, employees,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Securities Exchange Act of 1934, as amended (including any Current Report on Form 8-K and any related pro forma financial information), in each case in compliance with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in connection with such audit or review; and (c) using commercially reasonable efforts to obtain any consents of the Company’s historical auditors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Shareholder Representative.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Representative is hereby appointed by the Company to serve as the representative of the Shareholders with respect to the matters expressly set forth in this Agreement to be performed by the Shareholder Representative. By delivery of a Letter of Transmittal or Option Cancellation Agreement, the Shareholders and option holders of the Company hereby irrevocably appoint the Shareholder Representative as the representative, true and lawful agent, proxy and attorney in fact of the Shareholders and option holders for all purposes of this Agreement, with full power and authority on such Shareholder’s or option holder’s behalf (i) to consummate the transactions contemplated herein, (ii) to pay such Shareholder’s or option holder’s expenses (whether incurred on or after the date hereof) incurred in connection with the negotiation and performance of this Agreement, (iii) to receive, give receipt and disburse any funds received hereunder on behalf of or to such Shareholder or option holder and to hold back from disbursement any such funds to the extent it reasonably determines may be necessary, (iv) to execute and deliver any certificates representing the Company’s stock and execution of such further instruments as the Parent shall reasonably request, (v) to execute and deliver on behalf of such Shareholders and option holders all documents contemplated herein and any amendment or waiver hereto, (vi) to take all other actions to be taken by or on behalf of such Shareholder or option holder in connection herewith, (vii) to negotiate, settle, compromise and otherwise handle all disputes under this Agreement, including without limitation, disputes arising under this Agreement, (viii) to waive any condition to the obligation of the Shareholders to consummate the transactions contemplated herein, (ix) to give and receive notices on behalf of the Shareholders and (x) to do each and every act and exercise any and all rights which such Shareholder is, or the Shareholders collectively are, permitted or required to do or exercise under this Agreement. The Shareholders, by approving the principal terms of the Merger and/or accepting the consideration payable to them hereunder, irrevocably grant unto said attorney-in-fact and agent full power and authority to do and perform each and every act and thing necessary or desirable to be done in connection with the transactions contemplated by this Agreement, as fully to all intents and purposes as the Shareholders might or could do in person. Each of the Shareholders agrees that such agency and proxy are coupled with an interest, are therefore irrevocable without the consent of the Shareholder Representative and shall survive the death, incapacity or bankruptcy of any Shareholder.</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Shareholder Representative shall be final and binding upon all the Shareholders and no Shareholder shall have any right to object, dissent, protest or otherwise contest the same, except for fraud, bad faith or willful misconduct. Neither the Shareholder Representative nor any agent employed by Shareholder Representative shall incur any liability to any Shareholder relating to the performance of its duties hereunder except for actions or omissions constituting fraud, bad faith or willful misconduct. The Shareholder Representative shall not have by reason of this Agreement a fiduciary relationship in respect of any Shareholder, except in respect of amounts actually received on behalf of such Shareholder. The Shareholder Representative shall not be required to make any inquiry concerning either the performance or observance of any of the terms, provisions or conditions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Shareholders shall cooperate with the Shareholder Representative and any accountants, attorneys or other agents whom the Shareholder Representative may retain to assist in carrying out Shareholder Representative’s duties hereunder. The Shareholders shall reimburse the Shareholder Representative for all costs and expenses, including professional fees, incurred.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 Representative shall hold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in trust in the </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xml:space="preserve"> to cover and reimburse the fees and expenses and other payment obligations incurred by the Shareholder Representative for its or the Shareholders’ obligations, including indemnification obligations, in connection with this Agreement and the transactions contemplated herein. Any balance of the Reserve Account not incurred for such purposes shall be distributed to the Shareholders and option holders in accordance with the terms of this Agreement as soon as reasonably practicable (and in any event within sixty (60) days) after the later of (i) the General Expiration Date and (ii) the final resolution of all pending indemnification claims, after payment of the Shareholder Representative the amount due to it from the Reserve Account.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Shareholder to execute and deliver to Parent (or the applicable exchange agent), a Letter of Transmittal. Without limiting the foregoing, the Company shall actively solicit the prompt execution and delivery of such Letters of Transmittal and shall keep Parent reasonably informed of the status thereof. As a condition to such Shareholder’s receipt of any portion of the Merger Consideration, each Letter of Transmittal shall provide, among other things, that such holder (a) agrees to be bound by all provisions of this Agreement applicable to the Shareholders, including Article VII, (b) expressly and directly agrees to indemnify Parent and the other Parent Indemnified Parties in accordance with Article VII as if such holder were a party to this Agreement, (c) acknowledges that Parent and the Parent Indemnified Parties may enforce such obligations directly against such holder, and (d) agrees to the appointment of the Shareholder Representative and to be bound by all actions taken by the Shareholder Representative pursuant to this Agreement. The Company shall use its reasonable best efforts to obtain executed Letters of Transmittal from not less than 100% of the Shareholders prior to the Closing. The Company shall not waive, amend or modify any provision of any Letter of Transmittal in any manner adverse to Parent without the prior written consent of Parent.</w:t>
      </w:r>
    </w:p>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Conditions to the Obligations of Parent, Merger Sub X and Merger Sub XI.</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of Parent, Merger Sub X and Merger Sub XI to effect the Mergers are subject to the satisfaction or waiver in writing by Parent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Shareholders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the Fundamental Representations) shall be true and correct in all material respects (without giving effect to any limitation as to materiality or Material Adverse Effect set forth therein) as of the date of this Agreement and at and as of the Closing, as if made on the Closing Date (other than such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the Company and the Shareholder</w:t>
      </w:r>
      <w:r>
        <w:rPr>
          <w:rFonts w:ascii="Times New Roman;Times;Serif" w:hAnsi="Times New Roman;Times;Serif"/>
          <w:b w:val="false"/>
          <w:i w:val="false"/>
          <w:caps w:val="false"/>
          <w:smallCaps w:val="false"/>
          <w:sz w:val="20"/>
        </w:rPr>
        <w:t>. The Company and the Shareholders shall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No Action (excluding any such Action initiated by or on behalf of Parent, Merger Sub X or Merger Sub XI) shall be pending or threatened before any Governmental Authority, and no Order shall have been entered by any Governmental Authority, seeking to restrain Parent, Merger Sub X or Merger Sub XI or prohibit the Closing or seeking Damages against Parent, Merger Sub X or Merger Sub XI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Parent shall have completed its due diligence investigation of the Company, and the results thereof shall not have revealed that the representations of the Company and the Shareholder set forth herein are untrue or inaccurate in any respect, or otherwise be unsatisfactory to Parent in its sole and absolute discretion.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Parent shall have received all of the deliveries contemplated to be delivered to Parent pursuant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In addition, Parent shall have received a duly executed Letter of Transmittal from each Shareholder and a duly executed Option Termination Agreement from each holder of Company options, in each case in the form prepared by Parent and including such holder’s representations as to title to its Company securities and, with respect to the Rollover Shares, its status as an “accredited investor” and its investment intent, from holders representing one hundred percent (100%) of the outstanding Company equity securities (on a fully diluted basis).</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Debt Payoff and Lien Releases</w:t>
      </w:r>
      <w:r>
        <w:rPr>
          <w:rFonts w:ascii="Times New Roman;Times;Serif" w:hAnsi="Times New Roman;Times;Serif"/>
          <w:b w:val="false"/>
          <w:i w:val="false"/>
          <w:caps w:val="false"/>
          <w:smallCaps w:val="false"/>
          <w:sz w:val="20"/>
        </w:rPr>
        <w:t>. Parent shall have received (A)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and (B) UCC-3 termination statements and any other instruments necessary to release all Liens (other than Permitted Liens) securing such indebtedness, and all such indebtedness shall have been repaid in full and all such Liens discharged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The consents, approvals, waivers and authorizations set forth on Schedule 3.4(b) of the Disclosure Schedules, and any consent to assignment or novation required under any Government Contract (including any novation required under FAR Part 42.12),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The completed Disclosure Schedules delivered by the Company and the Shareholder Representative pursuant to Section 5.10 shall not disclose any matter that, individually or in the aggregate, constitutes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 of the Company and the Shareholders.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and the Shareholders to effect the Mergers are subject to the satisfaction or waiver in writing by the Company or the Shareholder Representative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Parent, Merger Sub X and Merger Sub XI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shall be true and correct in all material respects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Parent, Merger Sub X and Merger Sub XI</w:t>
      </w:r>
      <w:r>
        <w:rPr>
          <w:rFonts w:ascii="Times New Roman;Times;Serif" w:hAnsi="Times New Roman;Times;Serif"/>
          <w:b w:val="false"/>
          <w:i w:val="false"/>
          <w:caps w:val="false"/>
          <w:smallCaps w:val="false"/>
          <w:sz w:val="20"/>
        </w:rPr>
        <w:t>. Parent, Merger Sub X and Merger Sub XI shall each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As of the Closing Date, no Action (excluding any such Action initiated by or on behalf of the Company) shall be pending or threatened before any Governmental Authority seeking to restrain the Company or prohibit the Closing or seeking Damages against the Company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The Company and/or the Shareholders shall have received all of the deliveries contemplated to be delivered to the Company and/or the Shareholder pursuant to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The Company and/or the Shareholders shall have completed its due diligence investigation of Parent, and the results thereof shall not have revealed that the representations of Parent, Merger Sub X and Merger Sub XI set forth herein are untrue or inaccurate in any respect, or otherwise be unsatisfactory to the Company and the Shareholder Representative in their sole and absolute discretion.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Reorganization Treatment</w:t>
      </w:r>
      <w:r>
        <w:rPr>
          <w:rFonts w:ascii="Times New Roman;Times;Serif" w:hAnsi="Times New Roman;Times;Serif"/>
          <w:b w:val="false"/>
          <w:i w:val="false"/>
          <w:caps w:val="false"/>
          <w:smallCaps w:val="false"/>
          <w:sz w:val="20"/>
        </w:rPr>
        <w:t>. The Mergers shall, to the reasonable satisfaction of the Company and the Shareholder Representative, qualify as a 368 Transaction.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Frustration of Closing Conditions.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Company, the Shareholders, Parent, Merger Sub X or Merger Sub XI may rely on the failure of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the case may be,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the Shareholders contained herein or in any certificate or other instrument required to be delivered pursuant to this Agreement, including the Letters of Transmittal, shall survive the Closing and continue in full force and effect until the date that is eighteen (18) months following the Closing Date (the date of expiration of such eighteen (18)-month period, the “</w:t>
      </w:r>
      <w:r>
        <w:rPr>
          <w:rFonts w:ascii="Times New Roman;Times;Serif" w:hAnsi="Times New Roman;Times;Serif"/>
          <w:b/>
          <w:i/>
          <w:caps w:val="false"/>
          <w:smallCaps w:val="false"/>
          <w:sz w:val="20"/>
        </w:rPr>
        <w:t>General 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Fundamental Representations shall not expire and shall survive indefinitely, (b) the Tax Representations shall survive until the date that is ninety (90) days after the expiration of the applicable statute of limitations with respect to the underlying subject matter of such representations and warranties (giving effect to any waiver, mitigation or extension thereof), (c) the Specified Representations shall survive until the date that is ninety (90) days after the expiration of the applicable statute of limitations with respect to the underlying subject matter of such representations and warranties (giving effect to any waiver, mitigation or extension thereof), and (d) in the event of fraud, willful breach or intentional misrepresentation with respect to a representation or warranty, such representation or warranty shall survive indefinitely;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all representations and warranties of the Company and the Shareholder shall survive beyond the General Expiration Date or other survival periods specified above with respect to any breach thereof or inaccuracy therein if a claim is made hereunder in writing setting forth the specific claim and the basis therefor prior to the expiration of the survival period for such representation and warranty, in which case such representation and warranty shall survive as to such claim until such claim has been finally resolved. The representations and warranties of Parent, Merger Sub X and Merger Sub XI contained herein or in any certificate or other instrument required to be delivered pursuant to this Agreement shall survive the Closing and continue in full force and effect until the General Expiration Date; provided, however, that the representations and warranties of Parent set forth in Section 4.1 (Organization), Section 4.2 (Authority, Approval and Enforceability) and Section 4.6 (Valid Issuance of Rollover Shares) (collectively, the “</w:t>
      </w:r>
      <w:r>
        <w:rPr>
          <w:rFonts w:ascii="Times New Roman;Times;Serif" w:hAnsi="Times New Roman;Times;Serif"/>
          <w:b/>
          <w:i/>
          <w:caps w:val="false"/>
          <w:smallCaps w:val="false"/>
          <w:sz w:val="20"/>
        </w:rPr>
        <w:t>Parent Fundamental Representations</w:t>
      </w:r>
      <w:r>
        <w:rPr>
          <w:rFonts w:ascii="Times New Roman;Times;Serif" w:hAnsi="Times New Roman;Times;Serif"/>
          <w:b w:val="false"/>
          <w:i w:val="false"/>
          <w:caps w:val="false"/>
          <w:smallCaps w:val="false"/>
          <w:sz w:val="20"/>
        </w:rPr>
        <w:t>”) shall survive the Closing and continue in full force and effect until the date that is thirty-six (36) months following the Closing Date. All covenants and other agreements contained herein shall survive the Closing indefinitely or for the period explicitly specified therein. The indemnification obligations of the Shareholder set forth in Section 7.2(e) (collectively, the “</w:t>
      </w:r>
      <w:r>
        <w:rPr>
          <w:rFonts w:ascii="Times New Roman;Times;Serif" w:hAnsi="Times New Roman;Times;Serif"/>
          <w:b/>
          <w:i/>
          <w:caps w:val="false"/>
          <w:smallCaps w:val="false"/>
          <w:sz w:val="20"/>
        </w:rPr>
        <w:t>Special Indemnitiy Items”</w:t>
      </w:r>
      <w:r>
        <w:rPr>
          <w:rFonts w:ascii="Times New Roman;Times;Serif" w:hAnsi="Times New Roman;Times;Serif"/>
          <w:b w:val="false"/>
          <w:i w:val="false"/>
          <w:caps w:val="false"/>
          <w:smallCaps w:val="false"/>
          <w:sz w:val="20"/>
        </w:rPr>
        <w:t>) shall survive the Closing and continue in full force and effect until the date that is forty-eight (48) months following the Closing Date. For the avoidance of doubt, it is the intention of the parties hereto that the foregoing respective survival periods and termination dates supersede any applicable statutes of limitations that would otherwise apply to such representations and warranties.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Shareholder.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shall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Shareholder of any representation, warranty, covenant or agreement of such Shareholder in this Agreement, or such Shareholder’s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 Shareholder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Unpaid Transaction Expenses which are outstanding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any failure of the Company or any Company Product to comply, at or prior to the Closing, with any Law or list requirement referenced in Section 3.24 (NDAA and Supply-Chain Compliance), Section 3.25 (Export and Trade Controls) or Section 3.26 (Government Contracts), in each case whether or not disclosed; (ii) any indebtedness of the Company for borrowed money outstanding as of the Closing, including the Company’s secured credit facility, any revolving line of credit and the shareholder and related-party notes (and any accrued interest thereon), and any Liens securing the same; and (iii) the capitalized research-and-development payroll and related cost-classification matters reflected in the Company Financial Statements, including any adjustment to the Company’s historical cost of goods sold or gross margin arising therefrom;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Indemnified Taxes;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in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Shareholder Representative, and mutually agreed upon by Parent and the Shareholder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Corporation or the Surviving Entity suffers, incurs or otherwise becomes subject to any Damages as a result of or in connection with any inaccuracy in or breach of any representation, warranty, covenant or obligation, then (without limiting any of the rights of the Surviving Corporation or the Surviving Entity as a Parent Indemnified Party) Parent shall also be deemed, by virtue of its ownership of the Surviving Corporation and/or the Surviving Entity,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from and after the Closing, Parent shall indemnify and hold harmless the Shareholder and the Shareholder’s Affiliates and Representatives from and against any and all Damages incurred by any such Person to the extent arising out of or resulting from (a) any breach of any representation or warranty made by Parent, Merger Sub X or Merger Sub XI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(b) any breach of any covenant or agreement of Parent, Merger Sub X, Merger Sub XI, the Surviving Corporation or the Surviving Entity contained in this Agreement that is required to be performed after the Closing, or (c) fraud, intentional misrepresentation or willful misconduct by Parent, Merger Sub X or Merger Sub XI.</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Parent shall have no indemnification obligation to the Shareholder or any other Person for (i) the business, operations, assets, liabilities or obligations of the Company, the Surviving Corporation or the Surviving Entity, except to the extent arising from a breach by Parent, Merger Sub X or Merger Sub XI of an express covenant or agreement contained in this Agreement, or (ii) any failure of the Mergers to qualify as a reorganization within the meaning of Section 368(a) of the Code, except to the extent such failure is caused by a breach by Parent, Merger Sub X or Merger Sub XI of an express covenant or agreement contained in this Agreement or by an action taken by Parent after the Closing that is inconsistent with the qualification of the Mergers as a 368 Transaction.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indemnification provided for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subject to the following limitations: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Claims Threshold</w:t>
      </w:r>
      <w:r>
        <w:rPr>
          <w:rFonts w:ascii="Times New Roman;Times;Serif" w:hAnsi="Times New Roman;Times;Serif"/>
          <w:b w:val="false"/>
          <w:i w:val="false"/>
          <w:caps w:val="false"/>
          <w:smallCaps w:val="false"/>
          <w:sz w:val="20"/>
        </w:rPr>
        <w:t xml:space="preserve">. 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incurred by the Parent Indemnified Parties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w:t>
      </w:r>
      <w:r>
        <w:rPr>
          <w:rFonts w:ascii="Times New Roman;Times;Serif" w:hAnsi="Times New Roman;Times;Serif"/>
          <w:b/>
          <w:i/>
          <w:caps w:val="false"/>
          <w:smallCaps w:val="false"/>
          <w:sz w:val="20"/>
        </w:rPr>
        <w:t>Threshold Amount</w:t>
      </w:r>
      <w:r>
        <w:rPr>
          <w:rFonts w:ascii="Times New Roman;Times;Serif" w:hAnsi="Times New Roman;Times;Serif"/>
          <w:b w:val="false"/>
          <w:i w:val="false"/>
          <w:caps w:val="false"/>
          <w:smallCaps w:val="false"/>
          <w:sz w:val="20"/>
        </w:rPr>
        <w:t xml:space="preserve">”), in which case the Parent Indemnified Parties shall be entitled to indemnification for all such Damages, including the Threshold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limitation shall not apply to (i) claims for breaches of, or inaccuracies in, any of the Fundamental Representations, the Tax Representations and/or the Specified Representations, or (ii) claims based on fraud, willful misconduct or intentional misrepresentation. For the avoidance of doubt,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Source and Order of Recovery</w:t>
      </w:r>
      <w:r>
        <w:rPr>
          <w:rFonts w:ascii="Times New Roman;Times;Serif" w:hAnsi="Times New Roman;Times;Serif"/>
          <w:b w:val="false"/>
          <w:i w:val="false"/>
          <w:caps w:val="false"/>
          <w:smallCaps w:val="false"/>
          <w:sz w:val="20"/>
        </w:rPr>
        <w:t xml:space="preserve">. If there is determined to be any amount owing to a Parent Indemnified Party or Shareholder Indemnified Party as a result of indemnification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Parent Indemnified Party or Shareholder Indemnified Party shall be entitled to recourse directly against the Shareholder or Parent, Merger Sub X and Merger Sub XI, jointly and severally, subject to the limitations set forth herein. Any such amount owing to a Parent Indemnified Party may be satisfied, at the election of such Parent Indemnified Party in such Parent Indemnified Party’s sole discretion, through any or all of the following means: (i) by payment of cash; (ii) through a set-off against any amounts owed by any Parent Indemnified Party to the Shareholder under this Agreement (including, notwithstanding anything in this Agreement to the contrary, an express right of setoff against the amounts payable under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after the Closing); or (iii) the redemption of Rollover Shares valued at the higher of (x) the volume-weighted average price per share of Parent Common Stock on The Nasdaq Stock Market LLC for the twenty (20) consecutive Trading Days ending on (and including) the third (3rd) Trading Day immediately preceding the redemption date and (y) the Rollover Share Price; or (iv) any combination of the means set forth in the foregoing clauses (i) through (iii).</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Materiality</w:t>
      </w:r>
      <w:r>
        <w:rPr>
          <w:rFonts w:ascii="Times New Roman;Times;Serif" w:hAnsi="Times New Roman;Times;Serif"/>
          <w:b w:val="false"/>
          <w:i w:val="false"/>
          <w:caps w:val="false"/>
          <w:smallCaps w:val="false"/>
          <w:sz w:val="20"/>
        </w:rPr>
        <w:t xml:space="preserve">. For any and all purposes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all qualifications and exceptions relating to materiality, Material Adverse Effect or words of similar import (but not specific dollar thresholds) shall be disregarded for purposes of determining or calculating the amount of any Damages.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Damages</w:t>
      </w:r>
      <w:r>
        <w:rPr>
          <w:rFonts w:ascii="Times New Roman;Times;Serif" w:hAnsi="Times New Roman;Times;Serif"/>
          <w:b w:val="false"/>
          <w:i w:val="false"/>
          <w:caps w:val="false"/>
          <w:smallCaps w:val="false"/>
          <w:sz w:val="20"/>
        </w:rPr>
        <w:t>. No Parent Indemnified Party shall be entitled to indemnification for any punitive damages except to the extent such damages are awarded and actually paid by the Parent Indemnified Party to an unaffiliated third party in connection with a third party claim.</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 Cap</w:t>
      </w:r>
      <w:r>
        <w:rPr>
          <w:rFonts w:ascii="Times New Roman;Times;Serif" w:hAnsi="Times New Roman;Times;Serif"/>
          <w:b w:val="false"/>
          <w:i w:val="false"/>
          <w:caps w:val="false"/>
          <w:smallCaps w:val="false"/>
          <w:sz w:val="20"/>
        </w:rPr>
        <w:t>. The maximum indemnification by any Shareholder shall not exceed such Shareholder’s pro rata share of the Merger Consideration. The aggregate indemnification payable by either the Shareholders pursuant to Section 7.2 or the Parent pursuant to Section 7.3 shall not exceed $1,500,000. Notwithstanding the above, the indemnification cap shall not apply to any claims based on fraud, willful misconduct or intentional misrepresentation. For the avoidance of doubt, the foregoing cap shall apply to claims under Section 7.2(e) (Special Indemnities).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Effect of Knowledge</w:t>
      </w:r>
      <w:r>
        <w:rPr>
          <w:rFonts w:ascii="Times New Roman;Times;Serif" w:hAnsi="Times New Roman;Times;Serif"/>
          <w:b w:val="false"/>
          <w:i w:val="false"/>
          <w:caps w:val="false"/>
          <w:smallCaps w:val="false"/>
          <w:sz w:val="20"/>
        </w:rPr>
        <w:t>. The right of any Parent Indemnified Party or Shareholder Indemnified Party to indemnification, payment of Damages or any other remedy under this Article VII shall not be affected or limited by, and no such Indemnified Party shall be deemed to have waived any such right by reason of, any knowledge or investigation (or opportunity to investigate) of any Indemnified Party or any of its Representatives, whether before or after the date of this Agreement or the Closing, with respect to the accuracy or inaccuracy of, or compliance with, any representation, warranty, covenant or agreement, or by reason of the fact that any such matter was, or could have been, included in or omitted from the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Parent Indemnified Parties</w:t>
      </w:r>
      <w:r>
        <w:rPr>
          <w:rFonts w:ascii="Times New Roman;Times;Serif" w:hAnsi="Times New Roman;Times;Serif"/>
          <w:b w:val="false"/>
          <w:i w:val="false"/>
          <w:caps w:val="false"/>
          <w:smallCaps w:val="false"/>
          <w:sz w:val="20"/>
        </w:rPr>
        <w:t xml:space="preserve"> Whenever any claim shall arise for indemnification hereunder, the Parent Indemnified Parties shall promptly provide written notice of such claim to the Shareholder Representative. In connection with any claim giving rise to indemnity hereunder resulting from or arising out of any Action by a Person who is not a party to this Agreement, the Shareholder Representative, at his or her sole cost and expense and upon written notice to the Parent Indemnified Party, may assume the defense of any such Action with counsel reasonably satisfactory to the Parent Indemnified Party. The Parent Indemnified Party shall be entitled to participate in the defense of any such Action, with its counsel and at its own cost and expense. If the Shareholder Representative does not assume the defense of any such Action, the Parent Indemnified Party may, but shall not be obligated to, defend against such Action in such manner as it may deem appropriate, including settling such Action, after giving notice of it to the Shareholder Representative, on such terms as the Parent Indemnified Party may deem appropriate and no action taken by the Parent Indemnified Party in accordance with such defense and settlement shall relieve the Shareholder Representative of his or her indemnification obligations herein provided with respect to any damages resulting therefrom. The Shareholder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Shareholder Indemnified Parties</w:t>
      </w:r>
      <w:r>
        <w:rPr>
          <w:rFonts w:ascii="Times New Roman;Times;Serif" w:hAnsi="Times New Roman;Times;Serif"/>
          <w:b w:val="false"/>
          <w:i w:val="false"/>
          <w:caps w:val="false"/>
          <w:smallCaps w:val="false"/>
          <w:sz w:val="20"/>
        </w:rPr>
        <w:t>. Whenever any claim shall arise for indemnification hereunder, the Shareholder Indemnified Parties shall promptly provide written notice of such claim to the Parent. In connection with any claim giving rise to indemnity hereunder resulting from or arising out of any Action by a Person who is not a party to this Agreement, the Parent, at its sole cost and expense and upon written notice to the Shareholder Indemnified Party, may assume the defense of any such Action with counsel reasonably satisfactory to the Shareholder Indemnified Party. The Shareholder Indemnified Party shall be entitled to participate in the defense of any such Action, with its counsel and at its own cost and expense. If the Parent does not assume the defense of any such Action, the Shareholder Indemnified Party may, but shall not be obligated to, defend against such Action in such manner as it may deem appropriate, including settling such Action, after giving notice of it to the Parent, on such terms as the Shareholder Indemnified Party may deem appropriate and no action taken by the Shareholder Indemnified Party in accordance with such defense and settlement shall relieve the Parent of its indemnification obligations herein provided with respect to any damages resulting therefrom. The Parent shall not settle any Action without the Shareholder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payment made to a Parent Indemnified Party by the Shareholder, or a Shareholder Indemnified Party by the Parent pursuant to the indemnification obligations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treated as an adjustment to the Merger Consideration by the parties for Tax purposes, unless otherwise required by applicable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with respect to (a) claims based on fraud, willful misconduct or intentional misrepresentation, (b) claims for specific performance or other equitable relief in respect of any covenant or agreement contained herein or in any Ancillary Agreement, and (c) the rights and remedies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parties claiming by or through any party (including the Parent Indemnified Parties and Shareholder Indemnified Parties) related to or arising from any breach of any representation, warranty, covenant or agreement contained in, or otherwise pursuant to, this Agreement and none of Parent, Merger Sub X, Merger Sub XI, the Surviving Corporation, the Surviving Entity or any Shareholder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transactions contemplated hereby may be abandoned at any time prior to the Effective Time, whether before or after the approval by Parent and the Shareholder:</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agreement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(i) there is any failure to satisfy the conditions to the Closing set forth in Article VI; or (ii) any Governmental Authority of competent jurisdiction shall have issued a final non-appealable Order or enacted a Law that prohibits, prevents or makes illegal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have complied with its obligations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or the Company, if the Mergers shall not have been consummated on or before September 3, 2026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that is then in material breach of its representations, warranties, covenants or agreements contained in this Agreement which would cause the failure of a closing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the Company or the Shareholder breach any of their respective representations or warranties contained in this Agreement or breach or fail to perform any of their respective covenants or agreements contained in this Agreement, which breach or failure to perform (i)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the Company by Parent,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Parent if Parent, Merger Sub X or Merger Sub XI is then in material breach of any representation, warranty, covenant or agreement contained in this Agreement which breach or failure to perform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if Parent, Merger Sub X or Merger Sub XI breaches any of its representations or warranties contained in this Agreement or breaches or fails to perform any of its covenants or agreements contained in this Agreement, which breach or failure to perform (i)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Parent by the Company,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the Company if the Company or the Shareholder are then in material breach of any representation, warranty, covenant or agreement contained in this Agreement which breach or failure to perform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hereto,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Parent, Merger Sub X, Merger Sub XI, the Company, the Shareholder or any of their respective directors, officers, employees, partners or equityholders, except that </w:t>
      </w:r>
      <w:r>
        <w:rPr>
          <w:rFonts w:ascii="Times New Roman;Times;Serif" w:hAnsi="Times New Roman;Times;Serif"/>
          <w:b w:val="false"/>
          <w:i w:val="false"/>
          <w:caps w:val="false"/>
          <w:smallCaps w:val="false"/>
          <w:sz w:val="20"/>
          <w:u w:val="single"/>
        </w:rPr>
        <w:t>Section 5.5, Section 5.9</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Agreement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a willful and intentional breach of this Agreement prior to such termination. Notwithstanding the foregoing, if this Agreement is terminated by the Company (other than as a result of a breach by Parent or pursuant to Section 8.1(c)), or by Parent as a result of a breach by the Company which has not been cured as set forth in Section 8.1(d), then the Company shall pay to Parent a fee of $450,000, in immediately available funds, within five (5) Business Days after such termination. The parties agree that such fee constitutes liquidated damages and not a penalty.</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of the Company and Parent at any time (whether before or after the adoption of this Agreement by the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after any such adoption of this Agreement by the Shareholders, no amendment shall be made which by Law requires further approval of the Shareholders without the further approval of such Shareholders. This Agreement may not be amended except by an instrument in writing signed on behalf of each of the parties hereto. Any provision of this Agreement (including any Exhibit or Schedule) may be waived if, but only if, such waiver is in writing and is signed by the party against whom the waiver is to be effective.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waiver of any of the provisions of this Agreement shall be deemed, or shall constitute, a waiver of any other provision, whether or not similar, unless the waiver of such other provision is expressly referenced,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or other communications or deliveries required or permitted to be provided hereunder shall be in writing and shall be deemed to have been duly given and effective: (a) upon personal delivery to the party to whom such notice is required or permitted to be given; or (b) on the second Business Day following the date of dispatch if delivered by a nationally recognized overnight courier service, with written proof of such delivery of the notice. The address for such notices and communications (unless changed by the applicable party by like notice) shall be as follows: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X or Merger Sub XI,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KC Tolliver,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Shareholder Representative:</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72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or other provision of this Agreement is determined by a court of competent jurisdiction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To such end, the provisions of this Agreement are agreed to be severable.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in order that the transactions contemplated hereby are consummated as originally contemplated to the fullest extent possible.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Ancillary Agreements and the Disclosure Schedules, constitute the entire agreement among the parties with respect to the subject matter of this Agreement, and supersede all prior agreements and undertakings, both written and oral, among the parties, or any of them, with respect to the subject matter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of the parties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of its Affiliates or, as collateral, to any Person providing financing to it or any of its Affiliates (provided that any such assignment shall not relieve Parent of any of its obligations under this Agreement, and Parent shall remain jointly and severally liable with any such assignee for all obligations hereunder).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Remedies.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remedies provided herein will be deemed cumulative with and not exclusive of any other remedy conferred hereby, or by law or equity upon such party, and the exercise by a party of any one remedy will not preclude the exercise of any other remedy.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Parties in Interest.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binding upon and inure solely to the benefit of each party and its successors and permitted assigns and, except for the rights of the Parent Indemnified Parties and the Shareholder Indemnified Parties, and the rights of any director or officer of any party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nothing in this Agreement, express or implied, is intended to or shall confer upon any other Person any rights, benefits or remedies of any nature whatsoever under or by reason of this Agreement.</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Governing Law.</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CLAIM, DEMAND, ACTION OR CAUSE OF ACTION ARISING UNDER THIS AGREEMENT OR IN ANY WAY CONNECTED WITH OR RELATED OR INCIDENTAL TO THE DEALINGS OF THE PARTIES HERETO IN RESPECT OF THIS AGREEMENT OR ANY OF THE TRANSACTIONS RELATED HERETO IS, PURSUANT TO SECTION 9.12, PERMITTED TO BE BROUGHT OR MAINTAINED IN A COURT, EACH PARTY TO THIS AGREEMENT HEREBY IRREVOCABLY WAIVES, TO THE FULLEST EXTENT PERMITTED BY LAW, ANY RIGHT TO TRIAL BY JURY IN ANY SUCH CLAIM, DEMAND, ACTION OR CAUSE OF ACTION, IN EACH CASE WHETHER NOW EXISTING OR HEREAFTER ARISING, AND WHETHER IN CONTRACT, TORT, EQUITY OR OTHERWISE.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with respect to any claim, action or proceeding that, pursuant to Section 9.12, is not required to be resolved by arbitration (including any action seeking injunctive relief or specific performance), each party irrevocably submits to the exclusive jurisdiction of the state and federal courts located in the State of Delaware, agrees that all such claims, actions and proceedings shall be heard and determined exclusively in such courts, irrevocably waives any objection to the laying of venue in any such court and any claim that any such court is an inconvenient forum, and consents to service of process in the manner provided for the giving of notices in Section 9.2. Nothing in this Section 9.8 shall limit the right of any party to enforce any arbitral award or any judgment in any court of competent jurisdiction.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Agreement,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hereto incurring such fees or expenses.</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Counterparts.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and delivered in two or more counterparts, and by the different parties in separate counterparts, each of which when executed shall be deemed to be an original but all of which taken together shall constitute one and the same agreement,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Calculation of Time for 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date which is a Business Day.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Dispute Resolution.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this dispute resolution provision will be valid, binding, enforceable, exclusive, and irrevocable and that it shall survive any termination of this Agreement. Any dispute, controversy, or claim, whether in contract or tort, arising or relating to this Agreement or the enforcement, breach, termination, or validity thereof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including the determination of the scope or applicability of this Agreement to arbitrate, shall be submitted to final and binding arbitration in the State of Delaware before one neutral and impartial arbitrator, in accordance with the laws of the state of Delaware. The arbitration shall be administered by JAMS pursuant to the expedited procedures set forth in the JAMS Comprehensive Arbitration Rules and Procedures, as in effect on the date of this Agreement. The parties hereto shall appoint one arbitrator within fifteen (15) days of a demand for arbitration. If an arbitrator is not appointed within such 15-day period, the arbitrator shall be appointed by JAMS in accordance with its Comprehensive Arbitration Rules and Procedures, as in effect on the date of this Agreement. The arbitrator shall designate the place and time of the hearing. The award, which shall set forth the arbitrator’s findings of fact and conclusions of law, shall be filed with JAMS and mailed to the parties no later than thirty (30) days after the close of the arbitration hearing. The arbitration award shall be final and binding on the parties and not subject to appeal or collateral attack. Judgment upon the arbitration award may be entered in any federal or state court having jurisdiction thereof. If JAMS no longer exists or is otherwise unavailable, the parties agree that the American Arbitration Association (“</w:t>
      </w:r>
      <w:r>
        <w:rPr>
          <w:rFonts w:ascii="Times New Roman;Times;Serif" w:hAnsi="Times New Roman;Times;Serif"/>
          <w:b/>
          <w:i/>
          <w:caps w:val="false"/>
          <w:smallCaps w:val="false"/>
          <w:sz w:val="20"/>
        </w:rPr>
        <w:t>AAA</w:t>
      </w:r>
      <w:r>
        <w:rPr>
          <w:rFonts w:ascii="Times New Roman;Times;Serif" w:hAnsi="Times New Roman;Times;Serif"/>
          <w:b w:val="false"/>
          <w:i w:val="false"/>
          <w:caps w:val="false"/>
          <w:smallCaps w:val="false"/>
          <w:sz w:val="20"/>
        </w:rPr>
        <w:t>”) shall administer the arbitration in accordance with the Expedited Procedures set forth in its Commercial Arbitration Rules as in effect on the date of this Agreement. In such event, all references herein to JAMS shall mean AAA. Notwithstanding the foregoing, recognizing the irreparable damage will result to the parties in the event of the breach or threatened breach of any of the covenants hereof and that the parties’ remedies at law for any such breach or threatened breach will be inadequate, the parties shall be entitled to an injunction, including a mandatory injunction, to be issued by any court of competent jurisdiction ordering compliance with this Agreement or enjoining and restraining such breach.</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Force Majeure.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 party shall be liable or responsible to the other parties, nor be deemed to have defaulted under or breached this Agreement, for any failure or delay in fulfilling or performing any term of this Agreement (except for any obligation to make payments), in each case to the extent such failure or delay is caused by or results from acts or circumstances beyond the reasonable control of such party, including acts of God, flood, fire, earthquake, epidemic or pandemic, explosion, war, terrorism, invasion, riot or other civil unrest, strikes or other labor disturbances, embargoes, or national or regional emergency (each, a “Force Majeure Event”); provided, that the affected party gives prompt written notice of the Force Majeure Event to the other parties and uses commercially reasonable efforts to end the failure or delay and resume performance as soon as practicable.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shall mean any inquiry, offer, proposal or indication of interest (other than this Agreement or any other inquiry, offer, proposal or indication of interest by Parent), or any public announcement of intention to make any inquiry, offer, proposal or indication of interest (including any request for information from the Company, the Shareholder or their respective Representatives), contemplating, relating to or otherwise involving in any way any Alternative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or infraction, notice potential penalty, responsibility or liability, notice of intent to sue, warning letter, request for information,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court or other Governmental Authority or any arbitrator or arbitration panel.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Transaction</w:t>
      </w:r>
      <w:r>
        <w:rPr>
          <w:rFonts w:ascii="Times New Roman;Times;Serif" w:hAnsi="Times New Roman;Times;Serif"/>
          <w:b w:val="false"/>
          <w:i w:val="false"/>
          <w:caps w:val="false"/>
          <w:smallCaps w:val="false"/>
          <w:sz w:val="20"/>
        </w:rPr>
        <w:t>” means (a) any acquisition or purchase of Common Stock from the Company by any persons or “group” (as defined under Section 13(d) of the Exchange Act and the rules and regulations thereunder) representing more than a twenty percent (20%) voting interest in the Common Stock, any tender offer or exchange offer or privately negotiated share transfer that if consummated would result in any persons or “group” (as defined under Section 13(d) of the Exchange Act and the rules and regulations thereunder) beneficially owning Common Stock representing twenty percent (20%) or more of the voting interest in the Common Stock, or any merger, consolidation, business combination or similar transaction involving the Company pursuant to which the Shareholder hold less than eighty percent (80%) of the equity interests in any class or series of capital stock of the surviving or resulting entity of such transaction; (b) any sale, lease, exchange, transfer, license, acquisition or disposition of a substantial portion of the assets of the Company; (c) any sale, lease, exchange, transfer, license or disposition to a third party of a material portion of the business, properties, assets or technologies of the Company; (d) any joint venture or other strategic investment in or involving the Company (other than an ongoing commercial or strategic relationship in the ordinary course of business consistent with past practice), including any new financing, investment round or recapitalization of the Company other than financing or investment to maintain the solvency of the Company; or (e) any initial public offering of capital stock or other securities of the Company pursuant to a registration statement filed under the Securities Act; or (f) any similar transaction that is not in the ordinary course of business consistent with past practice.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any or all of the exhibits to this Agreement and any and all other agreements, instruments or documents required or expressly provided under this Agreement to be executed and delivered in connection with the transactions contemplated hereby, including the Employment Agreements, the Parent Stockholder Agreement and the Letters of Transmittal.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means May 31,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means the design, development, engineering, manufacture, integration, marketing, sale, support and servicing of unmanned aircraft systems and related payloads, sensors, components, ground-control systems and software products and services, in each case as conducted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Data</w:t>
      </w:r>
      <w:r>
        <w:rPr>
          <w:rFonts w:ascii="Times New Roman;Times;Serif" w:hAnsi="Times New Roman;Times;Serif"/>
          <w:b w:val="false"/>
          <w:i w:val="false"/>
          <w:caps w:val="false"/>
          <w:smallCaps w:val="false"/>
          <w:sz w:val="20"/>
        </w:rPr>
        <w:t>” means all data and personal information accessed, processed, collected, stored or disseminated by the Company, including any Personal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of 2020, and applicable rules and regulations thereunder, as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Payments</w:t>
      </w:r>
      <w:r>
        <w:rPr>
          <w:rFonts w:ascii="Times New Roman;Times;Serif" w:hAnsi="Times New Roman;Times;Serif"/>
          <w:b w:val="false"/>
          <w:i w:val="false"/>
          <w:caps w:val="false"/>
          <w:smallCaps w:val="false"/>
          <w:sz w:val="20"/>
        </w:rPr>
        <w:t>” means, without duplication of any Company Transaction Expenses, any amounts (including severance, termination, “golden parachute,” Tax gross-up, stay bonus, retention bonus, transaction bonus or other similar payments) that become payable by the Company as a result of, based upon or in connection with the consummation of the transactions contemplated hereby (either alone or in combination with any other event, whether contingent or otherwise) and that are owing or may become owing to any current or former employees, consultants, independent contractors or equity holders of the Company pursuant to employment agreements, Contracts or other Employee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Cash</w:t>
      </w:r>
      <w:r>
        <w:rPr>
          <w:rFonts w:ascii="Times New Roman;Times;Serif" w:hAnsi="Times New Roman;Times;Serif"/>
          <w:b w:val="false"/>
          <w:i w:val="false"/>
          <w:caps w:val="false"/>
          <w:smallCaps w:val="false"/>
          <w:sz w:val="20"/>
        </w:rPr>
        <w:t>” means, as of immediately prior to the Closing, all cash and cash equivalents of the Company, determined in accordance with GAAP, net of issued but uncleared checks, wire transfers and drafts, and excluding restricted cash or cash that is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Indebtedness</w:t>
      </w:r>
      <w:r>
        <w:rPr>
          <w:rFonts w:ascii="Times New Roman;Times;Serif" w:hAnsi="Times New Roman;Times;Serif"/>
          <w:b w:val="false"/>
          <w:i w:val="false"/>
          <w:caps w:val="false"/>
          <w:smallCaps w:val="false"/>
          <w:sz w:val="20"/>
        </w:rPr>
        <w:t>” means, as of immediately prior to the Closing, without duplication, all indebtedness of the Company for borrowed money, all obligations evidenced by notes, bonds, debentures or similar instruments, all capital lease obligations, all obligations for deferred purchase price, all obligations under lines of credit, all guarantees, all accrued and unpaid interest, premiums, penalties, breakage costs, prepayment fees and other amounts payable in connection with the discharge thereof, and all shareholder, officer, director, employee, Affiliate or other related-party notes, loans, advances or similar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Net Working Capital</w:t>
      </w:r>
      <w:r>
        <w:rPr>
          <w:rFonts w:ascii="Times New Roman;Times;Serif" w:hAnsi="Times New Roman;Times;Serif"/>
          <w:b w:val="false"/>
          <w:i w:val="false"/>
          <w:caps w:val="false"/>
          <w:smallCaps w:val="false"/>
          <w:sz w:val="20"/>
        </w:rPr>
        <w:t>” means Current Assets minus Current Liabilities, determined as of immediately prior to the Closing in accordance with GAAP applied consistently with the Company Financial Statements and the Company’s past practices; provided that Closing Net Working Capital shall exclude Closing Cash, Closing Indebtedness, Unpaid Transaction Expenses, Indemnified Taxes, income Tax assets and liabilities, deferred Tax assets and liabilities, and any amounts owed to or from Related Parties.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Related Party Amounts</w:t>
      </w:r>
      <w:r>
        <w:rPr>
          <w:rFonts w:ascii="Times New Roman;Times;Serif" w:hAnsi="Times New Roman;Times;Serif"/>
          <w:b w:val="false"/>
          <w:i w:val="false"/>
          <w:caps w:val="false"/>
          <w:smallCaps w:val="false"/>
          <w:sz w:val="20"/>
        </w:rPr>
        <w:t>” means, as of immediately prior to the Closing, without duplication, all amounts payable to or from any Related Party, including shareholder notes, accrued interest, loans, advances, payables, receivables and other related-party balances, except to the extent such Closing Related Party Amounts are paid in full and discharged at or prior to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Balance Sheet</w:t>
      </w:r>
      <w:r>
        <w:rPr>
          <w:rFonts w:ascii="Times New Roman;Times;Serif" w:hAnsi="Times New Roman;Times;Serif"/>
          <w:b w:val="false"/>
          <w:i w:val="false"/>
          <w:caps w:val="false"/>
          <w:smallCaps w:val="false"/>
          <w:sz w:val="20"/>
        </w:rPr>
        <w:t>” means the unaudited balance sheet of the Company as of the Balance Sheet Date included in the Company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IT Systems</w:t>
      </w:r>
      <w:r>
        <w:rPr>
          <w:rFonts w:ascii="Times New Roman;Times;Serif" w:hAnsi="Times New Roman;Times;Serif"/>
          <w:b w:val="false"/>
          <w:i w:val="false"/>
          <w:caps w:val="false"/>
          <w:smallCaps w:val="false"/>
          <w:sz w:val="20"/>
        </w:rPr>
        <w:t>” means all servers, software (including interpreted or compiled source code, object code, documentation, tools, drawings, specifications, metadata and data), computer hardware (whether general or special purpose), electronic data processing, information, record keeping, communications, telecommunications, networks, interfaces, platforms, peripherals, computer systems and related systems of or used by the Company, including any outsourced systems and processes that are owned or used by or for, or provided to the Company’s customers by, the Company in the conduct of its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by or on behalf of any of the Company Products, including (a) all data and content uploaded or otherwise provided by or for customers of the Company to the Company Products, or provided to or stored by end users of the customers of the Company on the Company Products, (b) all data and content created, compiled, inferred, derived or otherwise collected or obtained by or for the Company Products or by or for the Company in its provision of the Company Products or operation of the business of the Company, and (c) data and content compiled, inferred, or derived directly or indirectly from any of the data and content described in subclauses (a) and (b)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Products</w:t>
      </w:r>
      <w:r>
        <w:rPr>
          <w:rFonts w:ascii="Times New Roman;Times;Serif" w:hAnsi="Times New Roman;Times;Serif"/>
          <w:b w:val="false"/>
          <w:i w:val="false"/>
          <w:caps w:val="false"/>
          <w:smallCaps w:val="false"/>
          <w:sz w:val="20"/>
        </w:rPr>
        <w:t>” means all products and services developed (including products and services for which development is ongoing), manufactured, made commercially available, marketed, distributed, supported, sold, imported for resale or licensed out by or on behalf of the Company since its inception, including any of the Company’s websites, mobile applications, software, devices or other products and services.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means, without duplication, all fees, costs and expenses incurred or to be incurred by or on behalf of the Company and the Shareholder in connection with the negotiation, preparation and execution of this Agreement and the consummation of the transactions contemplated hereby, including (a) the fees, costs and expenses of investment bankers, attorneys, accountants and other advisors and service providers, (b) any Change of Control Payments, (c) any Transaction Payroll Taxes, (d) any payments to third parties under any Contract of the Company triggered by the transactions contemplated hereby, or any payment or consideration arising under or in relation to obtaining any consents, waivers or approvals of any third party under any Contract of the Company required to be obtained in connection with the transactions contemplated hereby in order for any such Contract to remain in full force and effect following the Closing or resulting from agreed-upon modification or early termination of any such Contract, and (e) fifty percent (50%) of any Transfer Taxes payable with respect to the transactions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means any information of or relating to the Company, Parent or the Company’s business, including proprietary Intellectual Property and proprietary information related to the Company’s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Information” does not include information which is or becomes generally available to the public other than as a result of a disclosure by the Shareholder or their respective Affiliates or available to the Shareholder or any of their respective Affiliates after the Closing Date on a non-confidential basis (provided that the source of such information was not known by the Shareholder or any of their respective Affiliates to be bound by a legal, fiduciary or contractual obligation of confidentiality to the Company, Parent or their respective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shall mean that certain Mutual Nondisclosure Agreement, dated as of March 5, 2026, between Mobix Labs, Inc. and Vision Aerial,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when described as being those of or applicable to any Person, any written or oral contracts, agreements, commitments, franchises, understandings, arrangements, leases, licenses, registrations, authorizations, easements, servitudes, rights of way, mortgages, bonds, notes, guaranties, liens, indebtedness, approvals or other instruments or undertakings to which such Person is a party or to which or by which such Person or the properties or assets of such Person is subject or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Assets</w:t>
      </w:r>
      <w:r>
        <w:rPr>
          <w:rFonts w:ascii="Times New Roman;Times;Serif" w:hAnsi="Times New Roman;Times;Serif"/>
          <w:b w:val="false"/>
          <w:i w:val="false"/>
          <w:caps w:val="false"/>
          <w:smallCaps w:val="false"/>
          <w:sz w:val="20"/>
        </w:rPr>
        <w:t>” means the current assets of the Company included in the calculation of Closing Net Working Capital, including accounts receivable, inventory and prepaid expenses, in each case only to the extent arising in the ordinary course of business and collectible or usable in the ordinary course of business, and excluding Closing Cash, Tax assets, deferred Tax assets, related-party receivables and any assets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Liabilities</w:t>
      </w:r>
      <w:r>
        <w:rPr>
          <w:rFonts w:ascii="Times New Roman;Times;Serif" w:hAnsi="Times New Roman;Times;Serif"/>
          <w:b w:val="false"/>
          <w:i w:val="false"/>
          <w:caps w:val="false"/>
          <w:smallCaps w:val="false"/>
          <w:sz w:val="20"/>
        </w:rPr>
        <w:t>” means the current liabilities of the Company included in the calculation of Closing Net Working Capital, including accounts payable, accrued expenses, customer deposits, deferred revenue, accrued compensation, accrued vacation or paid time off, accrued warranty obligations and other current liabilities, and excluding Closing Indebtedness, Unpaid Transaction Expenses, Indemnified Taxes, income Tax liabilities, deferred Tax liabilities and related-party payables.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wages, penalties, charges, liquidated damages, expenses, assessments, Taxes, interest and penalties, accountants’, consultants’, engineers’ and experts’ fees and expenses and including any such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Notwithstanding the foregoing, Damages excludes any attorney’s or arbitration fees or costs incurred in the prosecution or defense of any claim, Dispute, arbitration or action against another party to this Agreement,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w:t>
      </w:r>
      <w:r>
        <w:rPr>
          <w:rFonts w:ascii="Times New Roman;Times;Serif" w:hAnsi="Times New Roman;Times;Serif"/>
          <w:b w:val="false"/>
          <w:i w:val="false"/>
          <w:caps w:val="false"/>
          <w:smallCaps w:val="false"/>
          <w:sz w:val="20"/>
        </w:rPr>
        <w:t>” means the “Project Hawk” virtual data room hosted by DealRoom.net, and which has been populated by the Company and its Representatives for purposes of the transaction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all of the following to the extent relating to the access, collection, processing, recording, organization, adaptation, alteration, storage, transfer, retrieval, disclosure, dissemination, combination and/or use of data or otherwise relating to data security, cyber security, e-commerce, privacy or security breach notification requirements: (a) the rules, policies and procedures of the Company; (b) all applicable Laws and/or industry self-regulatory programs governing the receipt, collection, compilation, use, analysis, retention, storage, processing, sharing, safeguarding, security, disposal, destruction, disclosure or transfer of Personal Information, including, if and to the extent applicable, the GDPR (and any European Union member states’ laws and regulations implementing it), Canada’s Personal Information Protection and Electronic Documents Act (PIPEDA), the Financial Services Modernization Act of 1999, the Federal Information Security Management Act (FISMA), the Federal Trade Commission Act, the Privacy Act of 1974, the Gramm-Leach-Bliley Act, the Telephone Consumer Protection Act, the Telemarketing and Consumer Fraud and Abuse Prevention Act, the Fair Credit Reporting Act (FCRA) and its state law equivalents, California Online Privacy Protection Act of 2003 (CalOPPA), California Consumer Privacy Act (CCPA) the Cybersecurity Requirements For Financial Services Companies, 23 NYCRR 500 (2017) and any Laws promulgated under the foregoing Laws, and all applicable Laws governing Personal Information collection, retention, disclosure and breach notifications (the “</w:t>
      </w:r>
      <w:r>
        <w:rPr>
          <w:rFonts w:ascii="Times New Roman;Times;Serif" w:hAnsi="Times New Roman;Times;Serif"/>
          <w:b/>
          <w:i/>
          <w:caps w:val="false"/>
          <w:smallCaps w:val="false"/>
          <w:sz w:val="20"/>
        </w:rPr>
        <w:t>Data Privacy Laws</w:t>
      </w:r>
      <w:r>
        <w:rPr>
          <w:rFonts w:ascii="Times New Roman;Times;Serif" w:hAnsi="Times New Roman;Times;Serif"/>
          <w:b w:val="false"/>
          <w:i w:val="false"/>
          <w:caps w:val="false"/>
          <w:smallCaps w:val="false"/>
          <w:sz w:val="20"/>
        </w:rPr>
        <w:t>”); (c) all applicable industry requirements, including the Payment Card Industry Data Security Standard (PCI DSS) and all other applicable security rules and requirements as promulgated by the PCI Security Standards Council, by any member thereof, or by any entity that functions as a card brand, card association, card network, payment processor, acquiring bank, payment services provider, merchant bank or issuing bank, including, without limitation, all merchant- and service provider-specific requirements, the Payment Application Data Security Standards (PA-DSS) and all audit, scanning and filing requirements, to the extent applicable;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means the disclosure schedules delivered by the Company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all employee benefit plans (as defined in Section 3(3) of ERISA); (b) all bonus, incentive, equity or equity-based compensation, stock purchase, deferred compensation, retiree medical, life insurance, retirement, health and welfare benefit, salary continuation, section 125 cafeteria, health reimbursement, flexible spending, dependent care, employee loan, individual tax gross up, leave of absence, vacation pay, educational assistance, employee assistance or other employee benefit plans, policies or agreements; and (c) all employment, retention, individual consulting, collective bargaining, termination, severance or other similar agreements, in each case, (i) that are sponsored, maintained, contributed to or required to be contributed to by the Company, (ii) with respect to which the Company is a party or has any obligation or liability (contingent or otherwise), or (iii) with respect to which any current or former employee, officer, director or individual consultant of the Company (or any of their respective dependents or beneficiaries) is eligible to participate or receive benefits.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s” means any applicable Law concerning pollution, contamination, remediation, protection of natural resources or the environment, or protection of human health and safety.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the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Fundamental Representations</w:t>
      </w:r>
      <w:r>
        <w:rPr>
          <w:rFonts w:ascii="Times New Roman;Times;Serif" w:hAnsi="Times New Roman;Times;Serif"/>
          <w:b w:val="false"/>
          <w:i w:val="false"/>
          <w:caps w:val="false"/>
          <w:smallCaps w:val="false"/>
          <w:sz w:val="20"/>
        </w:rPr>
        <w:t>” means those representations and warranties of the Company and the Shareholder</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 Approval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Conflict with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and Finders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 any governmental, regulatory or administrative authority, agency, division, bureau or commission, or any court, tribunal or judicial or arbitral body.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that are attributable to any Pre-Closing Tax Period, including any such Taxes arising in any Straddle Period that are attributable to a Pre-Closing Tax Period in accordance with </w:t>
      </w:r>
      <w:r>
        <w:rPr>
          <w:rFonts w:ascii="Times New Roman;Times;Serif" w:hAnsi="Times New Roman;Times;Serif"/>
          <w:b w:val="false"/>
          <w:i w:val="false"/>
          <w:caps w:val="false"/>
          <w:smallCaps w:val="false"/>
          <w:sz w:val="20"/>
          <w:u w:val="single"/>
        </w:rPr>
        <w:t>Section 5.6(a)(iv)</w:t>
      </w:r>
      <w:r>
        <w:rPr>
          <w:rFonts w:ascii="Times New Roman;Times;Serif" w:hAnsi="Times New Roman;Times;Serif"/>
          <w:b w:val="false"/>
          <w:i w:val="false"/>
          <w:caps w:val="false"/>
          <w:smallCaps w:val="false"/>
          <w:sz w:val="20"/>
        </w:rPr>
        <w:t xml:space="preserve">, (b) any and all Taxes of any member of an affiliated, consolidated, combined or unitary group of which the Company (or any predecessor of the Company) is or was a member on or prior to the Closing Date, including pursuant to Treasury Regulation Section 1.1502-6 or any analogous or similar state, local or non-U.S. Law or regulation, (c) any and all Taxes of any Person (other than the Company) imposed on the Company as a transferee or successor, pursuant to a Contract or pursuant to any Law or otherwise, which Taxes relate to an event or transaction occurring before the Closing, (d) any Transaction Payroll Taxes, (e) any Taxes arising from or in connection with any breach of or misrepresentation with respect to any of the Tax Representations, and (f) any Transfer Taxes required to be borne by the Shareholder in accordance with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intellectual property, whether protected, created, or arising under the Laws of the United States or any other jurisdiction, whether registered or unregistered, including all: (a) patents and patent applications, including all continuations, divisionals, continuations-in-part, provisionals, petty patents, utility models, design patents, designs, rights to inventions and patents issuing on any of the foregoing, and all renewals, reexaminations, substitutions, extensions, and reissues of any of the foregoing; (b) trademarks, service marks, service names, brand names, trade dress, trade names, logos, corporate names, and other source or business identifiers, together with all of the goodwill associated with any of the foregoing, and any registrations, applications for registration, renewals, and extensions of any of the foregoing; (c) copyrights and works of authorship, compilations, data, database, and design rights, and mask works, in each case, whether or not registered or published, and all registrations, applications for registration, renewals, extensions and reversions of any of the foregoing; (d) inventions, know-how, research records, trade secrets, discoveries, improvements, technology, business and technical information, databases, data compilations and collections, tools, methods, processes, techniques, product designs, engineering specifications and drawings, formulae, customer lists, supplier lists, market analyses and other confidential and proprietary information and rights therein; (e) internet domain names and social media accounts or user names, all associated web addresses, URLs, websites and web pages, social media sites and pages, and all content and data hereon or relating thereto, whether or not copyrights; (f) software, computer programs, operating systems, applications, firmware, and other code, including all source code, object code, application programming interfaces, data files, databases, protocols, specifications, and other documentation thereof; (g) rights of publicity; (h) all rights to sue and recover for any past, present, or future infringement, misappropriation, or other violation of any of the foregoing, and (i) other intellectual property rights arising under the Laws of any jurisdiction throughout the world or pursuant to any international convention.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Internal Revenue Service.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 of the Company</w:t>
      </w:r>
      <w:r>
        <w:rPr>
          <w:rFonts w:ascii="Times New Roman;Times;Serif" w:hAnsi="Times New Roman;Times;Serif"/>
          <w:b w:val="false"/>
          <w:i w:val="false"/>
          <w:caps w:val="false"/>
          <w:smallCaps w:val="false"/>
          <w:sz w:val="20"/>
        </w:rPr>
        <w:t>” means the actual knowledge of Shane Beams and Shawn Roberts, in each case with respect to the matter in question, after reasonable inquiry of those employees and advisors of the Company who would reasonably be expected to have knowledge of the relevant matter.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law (including common law), statute, code, ordinance, rule, regulation or Order of any Governmental Authority having applicable jurisdiction or other similar binding requirement of a Governmental Authority having applicable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the same is required to be accrued on the financial statements of the applicable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mortgage, pledge, adverse claim, easement, charge, security interest, encumbrance or other restriction or limitation whatsoever.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means any change, effect, fact, occurrence, circumstance, development or event that, individually or in the aggregate, has had, or could reasonably be expected to have, a material adverse effect on the business, properties, assets, liabilities, results of operations, condition (financial or otherwise) or existing business of the Company or Parent (as applicable), taken as a whole; provided, however, that none of the following, individually or in the aggregate, shall be deemed to constitute, or shall be taken into account in determining whether there has occurred, a Material Adverse Effect: (a) general economic, financial, capital market, regulatory, political or social conditions; (b) conditions generally affecting the industry in which the Company or Parent (as applicable) operates; (c) changes in GAAP or other applicable accounting standards; (d) changes in applicable Law or the interpretation thereof; (e) acts of war (whether or not declared), armed hostilities, sabotage, terrorism or military actions, or any escalation or worsening thereof; (f) any epidemic, pandemic, disease outbreak or other public health emergency; (g) earthquakes, hurricanes, floods or other natural disasters or acts of God; (h) any failure by the Company or Parent (as applicable) to meet any internal or external projections, forecasts, budgets or estimates (provided that the underlying causes thereof may be considered); or (i) the announcement, pendency or consummation of the transactions contemplated hereby, except, in the case of each of clauses (a) through (g), to the extent such change, effect, fact, occurrence, circumstance, development or event has a disproportionate impact on the Company or Parent (as applicable) relative to other participants in the industry in which the Company or Parent (as applicable) operates.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 Minimum Price</w:t>
      </w:r>
      <w:r>
        <w:rPr>
          <w:rFonts w:ascii="Times New Roman;Times;Serif" w:hAnsi="Times New Roman;Times;Serif"/>
          <w:b w:val="false"/>
          <w:i w:val="false"/>
          <w:caps w:val="false"/>
          <w:smallCaps w:val="false"/>
          <w:sz w:val="20"/>
        </w:rPr>
        <w:t>” means the “Minimum Price” within the meaning of Nasdaq Listing Rule 5635(d), being the lower of (a) the Nasdaq Official Closing Price of the Parent Common Stock immediately preceding the signing of this Agreement; or (b) the average Nasdaq Official Closing Price of the Parent Common Stock for the five (5) trading days immediately preceding the signing of this Agreement, in each case as determined in accordance with the rules and interpretations of the Nasdaq Stock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complaint, consent order, compliance schedule, ruling, verdict or similar enforcement order entered, issued, made or rendered by any Governmental Authority, in each case, having applicable jurisdiction.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articles of association, articles of organization, certificate of limited partnership, statement of partnership, bylaws, limited liability company agreement, stockholders agreement, investor rights agreement, voting agreement, right of first refusal agreement, co-sale agreement, operating agreement, partnership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the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Merger Sub X, Merger Sub XI and their respective Subsidiaries and Affiliates (including any parent company or companies, the Surviving Corporation and the Surviving Entity) and each of their respective officers, directors, managers, employees,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legal status, orders, operating authorities, franchises, easements, applications, filings, registrations and other authorizations under any Laws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delinquent or the amount or validity of which is being contested in good faith by appropriate proceedings, provided an adequate reserve, determined in accordance with GAAP, has been established therefor on the Company Financial Statements; (b) mechanics’, carriers’, workers’, repairers’, and similar Liens arising or incurred in the ordinary course of business and related to amounts that are not yet delinquent, provided an adequate reserve, determined in accordance with GAAP, has been established therefor on the Company Financial Statements; (c) pledges or deposits made in the ordinary course of business to secure obligations under workers’ compensation, unemployment insurance, social security or similar programs mandated by applicable legislation; (d) with respect to real property only, zoning restrictions, building codes and other land use Laws regulating the use or occupancy of property which are not material in amount or do not, individually or in the aggregate, materially detract from the value of or materially impair the existing use of the property affected by such Law (to the extent there are no violations of the same);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partnership, limited liability company, trust, association or other entity or organization.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means any data or information defined as “personal information,” “personal data,” “personally identifiable information,” “individually identifiable health information,” “protected health information,” or “personally identifiable financial information” under any applicable Data Privacy Laws, including information that identifies, could be used to identify or is otherwise identifiable with an individual or a device.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computer programs, source code, know-how, technical information,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Reserve Account”</w:t>
      </w:r>
      <w:r>
        <w:rPr>
          <w:rFonts w:ascii="Times New Roman;Times;Serif" w:hAnsi="Times New Roman;Times;Serif"/>
          <w:b w:val="false"/>
          <w:i w:val="false"/>
          <w:caps w:val="false"/>
          <w:smallCaps w:val="false"/>
          <w:sz w:val="20"/>
        </w:rPr>
        <w:t xml:space="preserve"> means the account designated by the Shareholder Representative.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Reserve Amount</w:t>
      </w:r>
      <w:r>
        <w:rPr>
          <w:rFonts w:ascii="Times New Roman;Times;Serif" w:hAnsi="Times New Roman;Times;Serif"/>
          <w:b w:val="false"/>
          <w:i w:val="false"/>
          <w:caps w:val="false"/>
          <w:smallCaps w:val="false"/>
          <w:sz w:val="20"/>
        </w:rPr>
        <w:t>” means $50,000.00.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Restrictive Period</w:t>
      </w:r>
      <w:r>
        <w:rPr>
          <w:rFonts w:ascii="Times New Roman;Times;Serif" w:hAnsi="Times New Roman;Times;Serif"/>
          <w:b w:val="false"/>
          <w:i w:val="false"/>
          <w:caps w:val="false"/>
          <w:smallCaps w:val="false"/>
          <w:sz w:val="20"/>
        </w:rPr>
        <w:t>” means the period beginning on the Closing Date and ending on the earlier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Closing Date, and (ii) the date on which Parent no longer actively conducts the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Territory</w:t>
      </w:r>
      <w:r>
        <w:rPr>
          <w:rFonts w:ascii="Times New Roman;Times;Serif" w:hAnsi="Times New Roman;Times;Serif"/>
          <w:b w:val="false"/>
          <w:i w:val="false"/>
          <w:caps w:val="false"/>
          <w:smallCaps w:val="false"/>
          <w:sz w:val="20"/>
        </w:rPr>
        <w:t>” means any state in the United States in which the Company has distributed any Company Product within the twelve (12) month period prior to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Amount</w:t>
      </w:r>
      <w:r>
        <w:rPr>
          <w:rFonts w:ascii="Times New Roman;Times;Serif" w:hAnsi="Times New Roman;Times;Serif"/>
          <w:b w:val="false"/>
          <w:i w:val="false"/>
          <w:caps w:val="false"/>
          <w:smallCaps w:val="false"/>
          <w:sz w:val="20"/>
        </w:rPr>
        <w:t>” means $12,000,000.00.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Price</w:t>
      </w:r>
      <w:r>
        <w:rPr>
          <w:rFonts w:ascii="Times New Roman;Times;Serif" w:hAnsi="Times New Roman;Times;Serif"/>
          <w:b w:val="false"/>
          <w:i w:val="false"/>
          <w:caps w:val="false"/>
          <w:smallCaps w:val="false"/>
          <w:sz w:val="20"/>
        </w:rPr>
        <w:t xml:space="preserve">” means the VWAP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Rollover Share Price shall not be less than $2.00 nor greater than $3.00 (subject to adjustment for any stock split, stock dividend, recapitalization, or similar event).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securities, subscription right, call right, put right, right to subscribe, right of first refusal, right of first offer, conversion right or other right requiring the issuance of Equity Interests of the applicable Person, whether vested or unvested, or any other security or obligation convertible into or exchangeable for any such Equity Interests or evidencing the right to subscribe for or purchase such Equity Interests. “Security Right” includes rights conferred by any Law, the Organizational Documents of the Company or by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Shareholder Indemnified Party</w:t>
      </w:r>
      <w:r>
        <w:rPr>
          <w:rFonts w:ascii="Times New Roman;Times;Serif" w:hAnsi="Times New Roman;Times;Serif"/>
          <w:b w:val="false"/>
          <w:i w:val="false"/>
          <w:caps w:val="false"/>
          <w:smallCaps w:val="false"/>
          <w:sz w:val="20"/>
        </w:rPr>
        <w:t>” means the Shareholder Representative, any of the Shareholders, and their respective Affiliates (including any manager of the Shareholder) and each of its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 corporation, limited liability company, partnership, joint venture, trust or other organization of which (a) such Person or any other Subsidiary of such Person is a general partner (in the case of a partnership) or managing member (in the case of a limited liability company), (b) if a corporation, a majority of the total voting power vote in the election of directors, voting power of shares of capital stock entitled (without regard to the occurrence of any contingency) to vote to elect the board of directors or others performing similar functions with respect to such organization is held, owned or controlled, directly or indirectly, by such Person or by any one or more of such Person’s Subsidiaries or a combination thereof, (c) if a partnership, limited liability company or other business entity, a majority of the partnership or other similar ownership interests thereof is at the time owned or controlled, directly or indirectly, by such Person or any other Subsidiary of such Person or a combination thereof, or (d) at least fifty percent (50%) of the equity interests of such Person are controlled by such Person or by any one or more of such Person’s Subsidiaries or a combination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 Net Working Capital</w:t>
      </w:r>
      <w:r>
        <w:rPr>
          <w:rFonts w:ascii="Times New Roman;Times;Serif" w:hAnsi="Times New Roman;Times;Serif"/>
          <w:b w:val="false"/>
          <w:i w:val="false"/>
          <w:caps w:val="false"/>
          <w:smallCaps w:val="false"/>
          <w:sz w:val="20"/>
        </w:rPr>
        <w:t>” means $150,000.</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any federal, state, local or foreign tax of any kind or charge of any kind in the nature of, or similar to, taxes, including any income, gross receipts, license, payroll, employment, unclaimed property or escheat, excise, severance, stamp, occupation, premium, windfall profits, environmental, vehicle,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to tax, whether disputed or not, and any amounts payable pursuant to the determination or settlement of an audit; (b) any liability for the payment of any amounts of the type described in clause (a) arising as a result of being (or having been) a member of any affiliated, combined, consolidated, or unitary group (or being included (or required to be included) in any Tax Return relating thereto); and (c) any liability for the payment of any amounts of the type described in clauses (a) or (b) above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 xml:space="preserve">) and those representations with respect to Taxes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including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Payroll Taxes</w:t>
      </w:r>
      <w:r>
        <w:rPr>
          <w:rFonts w:ascii="Times New Roman;Times;Serif" w:hAnsi="Times New Roman;Times;Serif"/>
          <w:b w:val="false"/>
          <w:i w:val="false"/>
          <w:caps w:val="false"/>
          <w:smallCaps w:val="false"/>
          <w:sz w:val="20"/>
        </w:rPr>
        <w:t>” means the employer portion of any employment or payroll Taxes, whether payable by Parent, Merger Sub X, Merger Sub XI, the Company, Surviving Corporation or the Surviving Entity with respect to any Change of Control Payments and any other compensatory payments made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currently in force as final or temporary that have been issued by the U.S. Department of Treasury under its authority under the Code, and any successor regulations.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Unpaid Transaction Expenses</w:t>
      </w:r>
      <w:r>
        <w:rPr>
          <w:rFonts w:ascii="Times New Roman;Times;Serif" w:hAnsi="Times New Roman;Times;Serif"/>
          <w:b w:val="false"/>
          <w:i w:val="false"/>
          <w:caps w:val="false"/>
          <w:smallCaps w:val="false"/>
          <w:sz w:val="20"/>
        </w:rPr>
        <w:t>” means the aggregate amount of Company Transaction Expenses incurred and unpaid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price per share of Parent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the Closing Date.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Cross-Reference Table.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defined in this Agreement shall have the meaning set forth in the sections set forth below:</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455"/>
        <w:gridCol w:w="60"/>
        <w:gridCol w:w="1700"/>
      </w:tblGrid>
      <w:tr>
        <w:trPr/>
        <w:tc>
          <w:tcPr>
            <w:tcW w:w="3455"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Merger Consideration</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DGCL</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DLLCA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Closing Statement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Closing Statement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2.5(c)</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Merger</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Expiration Date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Policies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Period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Invention Assignment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3.16(f)</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Intellectual Property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XI</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 Source Software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1.7(h)</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Tax Period</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5.6(a)(iv)(A)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Shareholder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Covenants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Rollover Shares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Effective Time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Pre-Closing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Entity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Threshold Amount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5.6(d)</w:t>
            </w:r>
          </w:p>
        </w:tc>
      </w:tr>
    </w:tbl>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General Interpretation.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when a reference is made in this Agreement to an Article, Section or Schedule, such reference is to an Article or Section of, or a Schedule to, this Agreement unless otherwise indicated; (ii) the table of contents and headings for this Agreement are for reference purposes only and do not affect in any way the meaning or interpretation of this Agreement; (iii) whenever the words “include,” “includes” or “including” are used in this Agreement, they are deemed to be followed by the words “without limitation;” (iv) the words “hereof,” “herein” and “hereunder” and words of similar import, when used in this Agreement, refer to this Agreement as a whole and not to any particular provision of this Agreement, unless the context otherwise requires; (v) the word “will” when used in this Agreement shall be construed to have the same meaning and effect as the word “shall;” (vi) references to days means calendar days unless otherwise specified; (vii) references to any statute, rule or regulation are to the statute, rule or regulation as amended, modified, supplemented or replaced from time to time (and, in the case of statutes, include any rules and regulations promulgated under said statutes) and to any section of any statute, rule or regulation include any successor to said section; (viii) references to any agreement or instrument are to the agreement or instrument as from time to time amended, modified, supplemented or replaced from time to time, including by waiver or consent; (ix) all terms defined in this Agreement have the defined meanings when used in any certificate or other document made or delivered pursuant hereto, unless otherwise defined therein; (x) the use of “furnished to Parent,” “made available to Parent” or similar phrases means that the subject documents were posted to, and freely accessible by Parent and its Representatives in, the Data Room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words “in the ordinary course of business” or similar phrases shall mean “in the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Disclosure Schedules.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reflected in the Disclosure Schedules are not necessarily limited to matters required by this Agreement to be reflected in the Disclosure Schedules. To the extent any such additional matters are included, they are included for informational purposes and do not necessarily include other matters of a similar nature. Headings and subheadings have been inserted in the Disclosure Schedules for convenience of reference only and shall not have the effect of amending or changing the express description thereof as set forth in this Agreement. Disclosure of any information, fact or item in this Agreement or in the Disclosure Schedules referenced by a particular Section of this Agreement shall be deemed to have been disclosed with respect to every other Section of this Agreement to the extent that it is reasonably apparent from the face of such disclosure that such disclosure would apply to such other Sections. Nothing in the Disclosure Schedules is intended to broaden the scope of any representation or warranty made in this Agreement. Neither the specification of any dollar amount in the representations and warranties contained in this Agreement nor the inclusion of any specific item in the Disclosure Schedules is intended to imply that such amounts, higher or lower amounts, or the item so included or other items, are or are not material or are within or outside the ordinary course of business. Any capitalized term used in the Disclosure Schedules but not otherwise defined therein shall have the meaning given to such term in this Agreement.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[Remainder Of Page Intentionally Left Blank]</w:t>
      </w:r>
    </w:p>
    <w:p>
      <w:pPr>
        <w:pStyle w:val="TextBody"/>
        <w:bidi w:val="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ind w:left="0" w:right="0" w:firstLine="720"/>
        <w:jc w:val="both"/>
        <w:rPr>
          <w:smallCaps/>
        </w:rPr>
      </w:pPr>
      <w:r>
        <w:rPr>
          <w:small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648"/>
        <w:gridCol w:w="2146"/>
      </w:tblGrid>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Parent</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XI</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Company</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smallCaps/>
              </w:rPr>
            </w:pPr>
            <w:r>
              <w:rPr>
                <w:smallCaps/>
              </w:rPr>
              <w:t> </w:t>
            </w:r>
          </w:p>
        </w:tc>
        <w:tc>
          <w:tcPr>
            <w:tcW w:w="648" w:type="dxa"/>
            <w:tcBorders/>
            <w:vAlign w:val="center"/>
          </w:tcPr>
          <w:p>
            <w:pPr>
              <w:pStyle w:val="TableContents"/>
              <w:bidi w:val="0"/>
              <w:spacing w:before="0" w:after="283"/>
              <w:jc w:val="left"/>
              <w:rPr>
                <w:smallCaps/>
              </w:rPr>
            </w:pPr>
            <w:r>
              <w:rPr>
                <w:smallCaps/>
              </w:rPr>
              <w:t> </w:t>
            </w:r>
          </w:p>
        </w:tc>
        <w:tc>
          <w:tcPr>
            <w:tcW w:w="2146"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Vision Aerial,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Kaci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283"/>
        <w:jc w:val="left"/>
        <w:rPr/>
      </w:pPr>
      <w:r>
        <w:rPr/>
        <w:t> </w:t>
      </w:r>
    </w:p>
    <w:p>
      <w:pPr>
        <w:pStyle w:val="TextBody"/>
        <w:bidi w:val="0"/>
        <w:jc w:val="center"/>
        <w:rPr>
          <w:rFonts w:ascii="Times New Roman;Times;Serif" w:hAnsi="Times New Roman;Times;Serif"/>
          <w:b/>
          <w:smallCaps/>
        </w:rPr>
      </w:pPr>
      <w:r>
        <w:rPr>
          <w:rFonts w:ascii="Times New Roman;Times;Serif" w:hAnsi="Times New Roman;Times;Serif"/>
          <w:b/>
          <w:smallCaps/>
        </w:rPr>
        <w:t>Signature Page To Agreement And Plan Of Merger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ind w:left="4680" w:right="0" w:hanging="0"/>
        <w:jc w:val="left"/>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446"/>
        <w:gridCol w:w="2978"/>
      </w:tblGrid>
      <w:tr>
        <w:trPr/>
        <w:tc>
          <w:tcPr>
            <w:tcW w:w="75" w:type="dxa"/>
            <w:tcBorders/>
            <w:vAlign w:val="center"/>
          </w:tcPr>
          <w:p>
            <w:pPr>
              <w:pStyle w:val="TableContents"/>
              <w:bidi w:val="0"/>
              <w:spacing w:before="0" w:after="283"/>
              <w:jc w:val="left"/>
              <w:rPr>
                <w:smallCaps/>
              </w:rPr>
            </w:pPr>
            <w:r>
              <w:rPr>
                <w:smallCaps/>
              </w:rPr>
              <w:t> </w:t>
            </w:r>
          </w:p>
        </w:tc>
        <w:tc>
          <w:tcPr>
            <w:tcW w:w="342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Shareholder Representative</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Ness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caps w:val="false"/>
                <w:smallCaps w:val="false"/>
              </w:rPr>
            </w:pPr>
            <w:r>
              <w:rPr>
                <w:caps w:val="false"/>
                <w:smallCaps w:val="false"/>
              </w:rPr>
              <w:t> </w:t>
            </w:r>
          </w:p>
        </w:tc>
        <w:tc>
          <w:tcPr>
            <w:tcW w:w="2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Signature Page To Agreement And Plan Of Merger</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jz_002"/>
      <w:bookmarkEnd w:id="22"/>
      <w:r>
        <w:rPr>
          <w:rFonts w:ascii="Times New Roman;Times;Serif" w:hAnsi="Times New Roman;Time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XIV,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XV,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Special Project Delivery,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the Stockholder Representative named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Dated as of August 13, 2026</w:t>
      </w:r>
    </w:p>
    <w:p>
      <w:pPr>
        <w:pStyle w:val="TextBody"/>
        <w:bidi w:val="0"/>
        <w:spacing w:before="0" w:after="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smallCaps/>
        </w:rPr>
      </w:pPr>
      <w:r>
        <w:rPr>
          <w:smallCaps/>
        </w:rPr>
        <w:t> </w:t>
      </w:r>
    </w:p>
    <w:tbl>
      <w:tblPr>
        <w:tblW w:w="9060" w:type="dxa"/>
        <w:jc w:val="left"/>
        <w:tblInd w:w="0" w:type="dxa"/>
        <w:tblLayout w:type="fixed"/>
        <w:tblCellMar>
          <w:top w:w="0" w:type="dxa"/>
          <w:left w:w="0" w:type="dxa"/>
          <w:bottom w:w="0" w:type="dxa"/>
          <w:right w:w="0" w:type="dxa"/>
        </w:tblCellMar>
      </w:tblPr>
      <w:tblGrid>
        <w:gridCol w:w="75"/>
        <w:gridCol w:w="1085"/>
        <w:gridCol w:w="7445"/>
        <w:gridCol w:w="455"/>
      </w:tblGrid>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vAlign w:val="center"/>
          </w:tcPr>
          <w:p>
            <w:pPr>
              <w:pStyle w:val="TableContents"/>
              <w:bidi w:val="0"/>
              <w:spacing w:before="0" w:after="283"/>
              <w:jc w:val="right"/>
              <w:rPr>
                <w:smallCaps/>
              </w:rPr>
            </w:pPr>
            <w:r>
              <w:rPr>
                <w:smallCaps/>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Company Stockholders.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 MERGER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8</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 and Membership Interests.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Stock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 Allocation Schedule.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Holdback; Indemnity 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and Accounting Treatment.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08" w:type="dxa"/>
        <w:jc w:val="left"/>
        <w:tblInd w:w="0" w:type="dxa"/>
        <w:tblLayout w:type="fixed"/>
        <w:tblCellMar>
          <w:top w:w="0" w:type="dxa"/>
          <w:left w:w="0" w:type="dxa"/>
          <w:bottom w:w="0" w:type="dxa"/>
          <w:right w:w="0" w:type="dxa"/>
        </w:tblCellMar>
      </w:tblPr>
      <w:tblGrid>
        <w:gridCol w:w="99"/>
        <w:gridCol w:w="1445"/>
        <w:gridCol w:w="6319"/>
        <w:gridCol w:w="245"/>
      </w:tblGrid>
      <w:tr>
        <w:trPr/>
        <w:tc>
          <w:tcPr>
            <w:tcW w:w="7863"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13</w:t>
            </w:r>
          </w:p>
        </w:tc>
      </w:tr>
      <w:tr>
        <w:trPr/>
        <w:tc>
          <w:tcPr>
            <w:tcW w:w="7863"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Conversion;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Data Security; IT Systems.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Consultants; Benefit Plans.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Portfolio; Status of Development.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Projects; Development Pipeline.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Programs; Anti-Corruption; Trade Controls.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and Parent Related-Party Transactions.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
        <w:gridCol w:w="1840"/>
        <w:gridCol w:w="7995"/>
        <w:gridCol w:w="246"/>
      </w:tblGrid>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FIRST MERGER SUB AND SECOND MERGER SUB</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24</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the Merger Subs.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Authorized Shares.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95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27</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 by Parent.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Regulatory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Events.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Public Announcements.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Agreements; Continuing Service Arrangements.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Rights Agreement; Registration.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75"/>
        <w:gridCol w:w="1085"/>
        <w:gridCol w:w="6680"/>
        <w:gridCol w:w="245"/>
      </w:tblGrid>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r>
              <w:rPr>
                <w:rFonts w:ascii="Times New Roman;Times;Serif" w:hAnsi="Times New Roman;Times;Serif"/>
                <w:b w:val="false"/>
                <w:i/>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Transmittal.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Related-Party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Matters; Covered Executives.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Capital-Access Facilities; Reporting.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Name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Representative.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37</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First Merger Sub and Second Merger Sub.</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41</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Company Stockholders.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44</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934" w:type="dxa"/>
        <w:jc w:val="left"/>
        <w:tblInd w:w="0" w:type="dxa"/>
        <w:tblLayout w:type="fixed"/>
        <w:tblCellMar>
          <w:top w:w="0" w:type="dxa"/>
          <w:left w:w="0" w:type="dxa"/>
          <w:bottom w:w="0" w:type="dxa"/>
          <w:right w:w="0" w:type="dxa"/>
        </w:tblCellMar>
      </w:tblPr>
      <w:tblGrid>
        <w:gridCol w:w="105"/>
        <w:gridCol w:w="1526"/>
        <w:gridCol w:w="4058"/>
        <w:gridCol w:w="245"/>
      </w:tblGrid>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46</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Performance.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Electronic Signature.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50</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INDEX OF SCHEDULES</w:t>
            </w:r>
          </w:p>
        </w:tc>
        <w:tc>
          <w:tcPr>
            <w:tcW w:w="245" w:type="dxa"/>
            <w:tcBorders/>
            <w:shd w:fill="CCEEFF" w:val="clear"/>
            <w:vAlign w:val="center"/>
          </w:tcPr>
          <w:p>
            <w:pPr>
              <w:pStyle w:val="TableContents"/>
              <w:bidi w:val="0"/>
              <w:spacing w:before="0" w:after="283"/>
              <w:jc w:val="right"/>
              <w:rPr>
                <w:smallCaps/>
              </w:rPr>
            </w:pPr>
            <w:r>
              <w:rPr>
                <w:smallCaps/>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Agreement and Plan of Merger</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Agreement and Plan of Merger</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August 13,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XIV, Inc., a Delaware corporation and a wholly owned Subsidiary of Parent (“</w:t>
      </w:r>
      <w:r>
        <w:rPr>
          <w:rFonts w:ascii="Times New Roman;Times;Serif" w:hAnsi="Times New Roman;Times;Serif"/>
          <w:b/>
          <w:i/>
          <w:caps w:val="false"/>
          <w:smallCaps w:val="false"/>
          <w:sz w:val="20"/>
        </w:rPr>
        <w:t>First Merger Sub</w:t>
      </w:r>
      <w:r>
        <w:rPr>
          <w:rFonts w:ascii="Times New Roman;Times;Serif" w:hAnsi="Times New Roman;Times;Serif"/>
          <w:b w:val="false"/>
          <w:i w:val="false"/>
          <w:caps w:val="false"/>
          <w:smallCaps w:val="false"/>
          <w:sz w:val="20"/>
        </w:rPr>
        <w:t>”); (iii) Mobix Merger Sub XV, LLC, a Delaware limited liability company and a wholly owned Subsidiary of Parent (“</w:t>
      </w:r>
      <w:r>
        <w:rPr>
          <w:rFonts w:ascii="Times New Roman;Times;Serif" w:hAnsi="Times New Roman;Times;Serif"/>
          <w:b/>
          <w:i/>
          <w:caps w:val="false"/>
          <w:smallCaps w:val="false"/>
          <w:sz w:val="20"/>
        </w:rPr>
        <w:t>Second Merger Sub</w:t>
      </w:r>
      <w:r>
        <w:rPr>
          <w:rFonts w:ascii="Times New Roman;Times;Serif" w:hAnsi="Times New Roman;Times;Serif"/>
          <w:b w:val="false"/>
          <w:i w:val="false"/>
          <w:caps w:val="false"/>
          <w:smallCaps w:val="false"/>
          <w:sz w:val="20"/>
        </w:rPr>
        <w:t>”); (iv) Special Project Delivery,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(v) Paul Singarella, solely in his capacity as the Stockholder Representative (the “</w:t>
      </w:r>
      <w:r>
        <w:rPr>
          <w:rFonts w:ascii="Times New Roman;Times;Serif" w:hAnsi="Times New Roman;Times;Serif"/>
          <w:b/>
          <w:i/>
          <w:caps w:val="false"/>
          <w:smallCaps w:val="false"/>
          <w:sz w:val="20"/>
        </w:rPr>
        <w:t>Stockholder Representative</w:t>
      </w:r>
      <w:r>
        <w:rPr>
          <w:rFonts w:ascii="Times New Roman;Times;Serif" w:hAnsi="Times New Roman;Times;Serif"/>
          <w:b w:val="false"/>
          <w:i w:val="false"/>
          <w:caps w:val="false"/>
          <w:smallCaps w:val="false"/>
          <w:sz w:val="20"/>
        </w:rPr>
        <w:t>”). Parent, First Merger Sub, Second Merger Sub and the Company are sometimes referred to herein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of First Merger Sub or Second Merger Sub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“First Merger Sub” or “Second Merger Sub,”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“First Merger Sub” or “Second Merger Sub,”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is a Delaware corporation engaged in the business of sourcing, structuring, developing, and advancing rare earth, critical minerals, energy, and water infrastructure projects and technologies, including rare earth/critical minerals (“</w:t>
      </w:r>
      <w:r>
        <w:rPr>
          <w:rFonts w:ascii="Times New Roman;Times;Serif" w:hAnsi="Times New Roman;Times;Serif"/>
          <w:b/>
          <w:i/>
          <w:caps w:val="false"/>
          <w:smallCaps w:val="false"/>
          <w:sz w:val="20"/>
        </w:rPr>
        <w:t>REE/CM</w:t>
      </w:r>
      <w:r>
        <w:rPr>
          <w:rFonts w:ascii="Times New Roman;Times;Serif" w:hAnsi="Times New Roman;Times;Serif"/>
          <w:b w:val="false"/>
          <w:i w:val="false"/>
          <w:caps w:val="false"/>
          <w:smallCaps w:val="false"/>
          <w:sz w:val="20"/>
        </w:rPr>
        <w:t>”) acquisition opportunities and technology platforms, data center water and energy plays, California water-supply and public-private partnership development positions, and Salton Sea geothermal and direct-lithium-extraction development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was converted from a California limited liability company to a Delaware corporation effective June 1, 2026, in accordance with the DGCL and the applicable provisions of California law governing such conversion, and after such conversion the Company has a board of directors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(the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the Parties intend to effect an integrated business combination transaction by which: (a) at the Effective Time, First Merger Sub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whereupon the separate corporate existence of First Merger Sub will cease and the Company will survive the First Merger and continue as the surviving corporation of the First Merger and a wholly owned Subsidiary of Parent (the Company, in its capacity as the surviving corporation of the First Merger,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integrated transaction, the Surviving Corporation will merge with and into Second Merger Sub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whereupon the separate corporate existence of the Surviving Corporation will cease and Second Merger Sub will continue as the surviving company of the Second Merger and a wholly owned Subsidiary of Parent (Second Merger Sub, in its capacity as the surviving company of the Second Merger,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1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consummation of the Mergers, Parent will own one hundred percent (100%) of the outstanding equity interests of the Surviving Company, and the Surviving Company will hold all of the former business, assets and liabilities of the Company, and the holders of Shares immediately prior to the Effective Time (the “</w:t>
      </w:r>
      <w:r>
        <w:rPr>
          <w:rFonts w:ascii="Times New Roman;Times;Serif" w:hAnsi="Times New Roman;Times;Serif"/>
          <w:b/>
          <w:i/>
          <w:caps w:val="false"/>
          <w:smallCaps w:val="false"/>
          <w:sz w:val="20"/>
        </w:rPr>
        <w:t>Company Stockholders</w:t>
      </w:r>
      <w:r>
        <w:rPr>
          <w:rFonts w:ascii="Times New Roman;Times;Serif" w:hAnsi="Times New Roman;Times;Serif"/>
          <w:b w:val="false"/>
          <w:i w:val="false"/>
          <w:caps w:val="false"/>
          <w:smallCaps w:val="false"/>
          <w:sz w:val="20"/>
        </w:rPr>
        <w:t xml:space="preserve">”) will have the right to receive the Aggregate Stock Consideration as provided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management, financing, and project-development capabilities of the Company and its principals are complementary to, and would materially augment, the strategic platform that Parent is developing through (i) the acquisition of the Company hereunder, and (ii) the joint efforts of the Parties for Parent to enter into verticals associated with matters of strategic, national importance, including the REE/CM space, with a focus on midstream acquisitions to acquire rare earth processing capabilities and capacity, the energy space with a focus on energy for data centers, and other potential growth opportunities into matters of national and economic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Stockholders include Persons who are, or who upon or in connection with the Closing are expected to become, related parties of Parent within the meaning of Item 404 of Regulation S-K and the rules of The Nasdaq Stock Market LLC, and the Company and one or more of its Affiliates are parties to existing commercial arrangements with Parent and its Subsidiaries, and accordingly the Parties have treated the Transactions as a related-party transaction, including for purposes of the approvals described in the following recital and the representations, covenants and conditions of this Agreement specifically addressed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board of directors of Parent (the “Parent Board”), acting upon the unanimous recommendation of the audit committee of the Parent Board (the “Parent Audit Committee”) composed solely of independent and disinterested directors, which committee reviewed the Transactions in accordance with the related-party transaction policies of Parent, Rule 5630 of The Nasdaq Stock Market LLC and Section 144 of the DGCL, has, by the affirmative vote of the disinterested directors and with each interested director (if any) having disclosed his or her interest and abstained, (i) determined that this Agreement and the transactions contemplated hereby, including the Mergers and the issuance of Parent Class A Common Stock contemplated by Article II, are advisable, fair to, and in the best interests of, Parent and its stockholders (including its stockholders unaffiliated with the Company Stockholders), AND (ii) approved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First Merger Sub and the sole member and (if applicable) manager of Second Merger Sub have (or, upon formation and joinder, will have) approved and declared advisable this Agreement and the transactions contemplated hereby, including the Mergers, and Parent, as sole stockholder of First Merger Sub and sole member of Second Merger Sub, has approved (or, upon formation and joinder, will approve)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fair to, and in the best interests of, the Company and the Company Stockholders, (ii) approved and declared advisable this Agreement and the transactions contemplated hereby, and (iii) resolved to recommend that the Company Stockholders adopt this Agreement and approve the transactions contemplated hereby;</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2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 that follows the U.S. federal income Tax treatment), each of the Parties intends that the First Merger and the Second Merger, taken together, will constitute an integrated transaction that qualifies as a “reorganization” within the meaning of Section 368(a) of the Code (and any comparable provision of state or local Tax Law), and that this Agreement be, and hereby is, adopted as a “plan of reorganization” for purposes of Section 368 of the Code and Treasury Regulations Sections 1.368-2(g) and 1.368-3 (the Mergers, taken together and so treated, the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Parties acknowledge that the Pre-Closing Dilution Stack is a material factor in the calculation of the Aggregate Stock Consideration, and the Parties intend that the Aggregate Stock Consideration be calculated as of, and fixed as of, the Closing, and be delivered as provided in Article II without any post-Closing anti-dilution adjustment, earn-out, restorative equity-grant mechanism, or milestone-contingent issuance of merger consideration, it being understood that any equity-based award granted to a Company Stockholder following the Closing under any equity incentive plan of Parent is granted in respect of continuing service and does not constitute merger consideration;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Parties acknowledge that the continued operation of the Surviving Company will require working capital and operating funding (including in respect of (i) the Surviving Company’s continuing obligations under existing contracts and agreements, (ii) ordinary-course operating expenses, and (iii) compensation of personnel engaged in the continuing development and management of the Surviving Company’s project portfolio), and the Parties intend that Parent capitalize the Surviving Company at Closing in the amount and on the terms set forth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with the understanding that additional capitalizations may be required from time to time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premises and the mutual representations, warranties, covenants and agreements contained in this Agreement, and other good and valuable consideration, the receipt and sufficiency of which are hereby acknowledged,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251 thereof), at the Effective Time, First Merger Sub shall be merged with and into the Company, the separate corporate existence of First Merger Sub shall thereupon cease, and the Company shall survive the First Merger and shall continue as the Surviving Corporation and, from and after the Effective Time, as a wholly owned Subsidiary of Parent. For the avoidance of doubt, the Company shall be the surviving corporation of the First Merger, and the separate corporate existence of the Company, with all of its rights, privileges, powers, franchises, properties, assets, debts and liabilities, shall continue unaffected by the First Merger, except as expressly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264 thereof) and the DLLCA (including Section 18-209 thereof), at the Second Effective Time, the Surviving Corporation shall be merged with and into Second Merger Sub, the separate corporate existence of the Surviving Corporation shall thereupon cease, and Second Merger Sub shall continue as the Surviving Company in the Second Merger and shall remain a wholly owned Subsidiary of Parent.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3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shall take place remotely via the exchange of executed counterparts and electronic deliverables at 10:00 a.m., Pacific time, on the date that is no later than the third (3rd)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satisfaction or waiver of those conditions at such time), unless another time, date or place is agreed to in writing by Parent and the Company. All deliveries by one Party to any other Party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a certificate of merger with respect to the First Merger, substantially in the form agreed to by the Parties (the “</w:t>
      </w:r>
      <w:r>
        <w:rPr>
          <w:rFonts w:ascii="Times New Roman;Times;Serif" w:hAnsi="Times New Roman;Times;Serif"/>
          <w:b/>
          <w:i/>
          <w:caps w:val="false"/>
          <w:smallCaps w:val="false"/>
          <w:sz w:val="20"/>
        </w:rPr>
        <w:t>First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 of Merger has been duly filed with the Secretary of State of the State of Delaware or at such later date or time as may be agreed by Parent and the Company in writing and specified in the First Certificate of Merger (the time the First Merger becomes effective,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event on the same day as the Effective Time, the Parties shall (i) cause a certificate of merger with respect to the Second Merger, substantially in the form agreed to by the Parties (the “</w:t>
      </w:r>
      <w:r>
        <w:rPr>
          <w:rFonts w:ascii="Times New Roman;Times;Serif" w:hAnsi="Times New Roman;Times;Serif"/>
          <w:b/>
          <w:i/>
          <w:caps w:val="false"/>
          <w:smallCaps w:val="false"/>
          <w:sz w:val="20"/>
        </w:rPr>
        <w:t>Second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at the time when the Second Certificate of Merger has been duly filed with the Secretary of State of the State of Delaware or at such later date or time as may be agreed by Parent and the Company in writing and specified in the Second Certificate of Merger (the time the Second Merger becomes effective,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First Merger Sub shall vest in the Surviving Corporation, and all debts, liabilities and duties of the Company and First Merger Sub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Second Merger Sub shall vest in the Surviving Company, and all debts, liabilities and duties of the Surviving Corporation and Second Merger Sub shall become the debts, liabilities and duties of the Surviving Company.</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At the Effective Time, by virtue of the First Merger, (a) the certificate of incorporation of the Company as in effect immediately prior to the Effective Time shall be amended and restated in its entirety to read as set forth in the exhibit to the First Certificate of Merger (which shall be in substantially the form of the certificate of incorporation of First Merger Sub as in effect immediately prior to the Effective Time, except that the name of the Surviving Corporation shall be “Special Project Delivery, Inc.” or such other name as Parent shall designate prior to the Closing), and, as so amended and restated, shall be the certificate of incorporation of the Surviving Corporation, and (b) the bylaws of First Merger Sub as in effect immediately prior to the Effective Time shall be the bylaws of the Surviving Corporation (except that references therein to the name of First Merger Sub shall be deemed references to the name of the Surviving Corporation), in each case until thereafter amended as provided therein or by applicable Law. At the Second Effective Time, the certificate of formation and limited liability company agreement of Second Merger Sub as in effect immediately prior to the Second Effective Time shall be the certificate of formation and limited liability company agreement of the Surviving Company until thereafter amended as provided therein or by applicable Law, except that the name of the Surviving Company shall be “Special Project Delivery,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First Merger Sub immediately prior to the Effective Time shall be, from and after the Effective Time, the directors and officers of the Surviving Corporation, to hold office in accordance with the certificate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(or managing member) and officers of Second Merger Sub immediately prior to the Second Effective Time shall be, from and after the Second Effective Time, the managers (or managing member) and officers of the Surviving Company, to hold office in accordance with the certificate of formation and limited liability company agreement of the Surviving Company until their respective successors are duly elected or appointed and qualified or until the earlier of their death, resignation or removal. Notwithstanding the foregoing, Parent shall cause the Surviving Company to retain such of the Company’s officers as are mutually agreed by Parent and the Company prior to the Closing in roles that support the continuity of the Company’s project portfolio.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Company Stockholders</w:t>
      </w:r>
      <w:r>
        <w:rPr>
          <w:rFonts w:ascii="Times New Roman;Times;Serif" w:hAnsi="Times New Roman;Times;Serif"/>
          <w:b w:val="false"/>
          <w:i w:val="false"/>
          <w:caps w:val="false"/>
          <w:smallCaps w:val="false"/>
          <w:sz w:val="20"/>
        </w:rPr>
        <w:t>. At or prior to the Closing, the Company and the Company Stockholders (as applicable) shall deliver or cause to be delivered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good standing (or its equivalent) of the Company and each of its Subsidiaries from its jurisdiction of formation and each other jurisdiction in which such entity is qualified, licensed or authorized to do business,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certified copy of the certificate of incorporation of the Company from the Secretary of State of the State of Delaware, together with evidence reasonably satisfactory to Parent of the Company’s conversion from a California limited liability company to a Delaware corporation, including the certificate of conversion filed with the Secretary of State of the State of Delaware, the corresponding conversion filing made with the Secretary of State of the State of California, and the resolutions of the Company’s prior managers and members and current Company Board authorizing such conversion;</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the Secretary of the Company,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the Company Stockholder Approval, and (iii) all such resolutions and consents are in full force and effect and are all the resolutions and consents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dated as of the Closing Date, executed by a duly authorized officer of the Company, certifying that the Company is not, and has not been at any time during the five (5) years preceding the date of such statement (or, if shorter, the period of the Company’s existence as a corporation, taking into account any predecessor status), a “United States real property holding corporation,” as defined in Section 897(c)(2) of the Code, such statement in form and substance reasonably satisfactory to Parent and conforming to the requirements of Treasury Regulations Sections 1.1445-2(c)(3) and 1.897-2(h), together with a notice of such statement to be delivered by Parent to the IRS on behalf of the Company in accordance with Treasury Regulations Section 1.897-2(h)(2), and (ii) an IRS Form W-9 from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each of Paul Singarella and John Dewey;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Letter of Transmittal,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certificate executed and delivered by an executive officer of the Company, dated as of the Closing Date, certifying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Certificate of Merger, duly executed by the Company (to the extent execution is required by the DGCL);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in each case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written resignation and release from each of the officers and directors of the Company (other than any officer whom Parent designates to continue with the Surviving Company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the Company or any Subsidiary has any indebtedness for borrowed money (including any stockholder or related-party notes), duly executed payoff letters and customary lien-release documentation, in form and substance reasonably satisfactory to Parent,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6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evidence reasonably satisfactory to Parent of the termination (or, if designated by Parent pursuant to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 xml:space="preserve">, the amendment or ratification) of each Contract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updated Allocation Schedule contemplated by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certified by an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r>
        <w:rPr>
          <w:rFonts w:ascii="Times New Roman;Times;Serif" w:hAnsi="Times New Roman;Times;Serif"/>
          <w:b w:val="false"/>
          <w:i w:val="false"/>
          <w:caps w:val="false"/>
          <w:smallCaps w:val="false"/>
          <w:sz w:val="20"/>
        </w:rPr>
        <w:t>. At or prior to the Closing, Parent shall deliver or cause to be delivered to the Company and/or the Company Stockholders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each of Parent, First Merger Sub and Second Merger Sub, dated as of the Closing Date, certifying that attached thereto are correct and complete copies of all resolutions adopted by the Parent Board (including the resolutions of the Parent Audit Committee and the disinterested directors described in the Recitals), the board of directors of First Merger Sub, and the sole member or manager of Second Merger Sub, and the written consents of Parent as sole stockholder of First Merger Sub and sole member of Second Merger Sub, in each case authorizing the execution, delivery and performance of this Agreement and the Ancillary Agreements and the consummation of the transactions contemplated hereby and thereby, including the Mergers, and that all such resolutions and consents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dated as of the Closing Date, certifying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Parent Solvency Certificate, delivered in accordance with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Second Certificate of Merger, duly executed by Second Merger Sub (to the extent execution is required by the DGCL or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Parent (or the applicable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copy of an executed indemnification agreement between Parent and each Covered Executive in substantially the form contemplated by </w:t>
      </w:r>
      <w:r>
        <w:rPr>
          <w:rFonts w:ascii="Times New Roman;Times;Serif" w:hAnsi="Times New Roman;Times;Serif"/>
          <w:b w:val="false"/>
          <w:i w:val="false"/>
          <w:caps w:val="false"/>
          <w:smallCaps w:val="false"/>
          <w:sz w:val="20"/>
          <w:u w:val="single"/>
        </w:rPr>
        <w:t>Section 5.17(d)</w:t>
      </w:r>
      <w:r>
        <w:rPr>
          <w:rFonts w:ascii="Times New Roman;Times;Serif" w:hAnsi="Times New Roman;Times;Serif"/>
          <w:b w:val="false"/>
          <w:i w:val="false"/>
          <w:caps w:val="false"/>
          <w:smallCaps w:val="false"/>
          <w:sz w:val="20"/>
        </w:rPr>
        <w:t xml:space="preserve">, together with the insurance deliverables contemplated by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or the Second Effective Time, the Surviving Corporation or the Surviving Company shall consider or be advised that any deeds, bills of sale, assignments, assurances or any other actions or things are reasonably necessary or desirable to vest, perfect or confirm of record or otherwise in the Surviving Corporation or the Surviving Company its right, title or interest in, to or under any of the rights, properties or assets of the Company, First Merger Sub or Second Merger Sub or otherwise to carry out the purposes of this Agreement, the officers of the Surviving Corporation or the Surviving Company, as applicable, shall be authorized to execute and deliver, in the name and on behalf of the Company, First Merger Sub or Second Merger Sub, all such deeds, bills of sale, assignments and assurances and to take and do, in the name and on behalf of the Company, First Merger Sub or Second Merger Sub, all such other actions and things as may be reasonably necessary or desirable to vest, perfect or confirm any and all right, title and interest in, to and under such rights, properties or assets in the Surviving Corporation or the Surviving Company, as applicable, or otherwise to carry out the purposes of this Agreement.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7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MERGERS; MERGER CONSIDERATION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 and 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At the Effective Time, by virtue of the First Merger and without any action on the part of Parent, First Merger Sub, Second Merger Sub, the Company or any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Cancellation of Treasury Shares.</w:t>
      </w:r>
      <w:r>
        <w:rPr>
          <w:rFonts w:ascii="Times New Roman;Times;Serif" w:hAnsi="Times New Roman;Times;Serif"/>
          <w:b w:val="false"/>
          <w:i w:val="false"/>
          <w:caps w:val="false"/>
          <w:smallCaps w:val="false"/>
          <w:sz w:val="20"/>
        </w:rPr>
        <w:t xml:space="preserve"> Each Share that is owned by the Company (as treasury stock or otherwise) or by any direct or indirect wholly owned Subsidiary of the Company immediately prior to the Effective Time shall be automatically cancelled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(ii) Conversion of Shares. </w:t>
      </w:r>
      <w:r>
        <w:rPr>
          <w:rFonts w:ascii="Times New Roman;Times;Serif" w:hAnsi="Times New Roman;Times;Serif"/>
          <w:b w:val="false"/>
          <w:i w:val="false"/>
          <w:caps w:val="false"/>
          <w:smallCaps w:val="false"/>
          <w:sz w:val="20"/>
        </w:rPr>
        <w:t xml:space="preserve">Each Share issued and outstanding immediately prior to the Effective Time (other than Shares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Dissenting Shares) shall be automatically cancelled and retired and shall cease to exist or be outstanding, and shall be automatically converted into the right of the holder thereof to receive, without interest, such holder’s Pro Rata Share of the Aggregate Stock Consideration, issuable and deliverable in accordance with this Article II. From and after the Effective Time, the Company Stockholders shall have only the rights expressly set forth in this Agreement and the Ancillary Agreements (or, in the case of Dissenting Shares, under Section 262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First Merger Sub Stock.</w:t>
      </w:r>
      <w:r>
        <w:rPr>
          <w:rFonts w:ascii="Times New Roman;Times;Serif" w:hAnsi="Times New Roman;Times;Serif"/>
          <w:b w:val="false"/>
          <w:i w:val="false"/>
          <w:caps w:val="false"/>
          <w:smallCaps w:val="false"/>
          <w:sz w:val="20"/>
        </w:rPr>
        <w:t xml:space="preserve"> Each share of common stock of First Merger Sub issued and outstanding immediately prior to the Effective Time shall be automatically converted into and become one (1) validly issued, fully paid and nonassessable share of common stock of the Surviving Corporation, and such shares shall constitute the only outstanding shares of capital stock of the Surviving Corporation. From and after the Effective Time, Parent shall be the sole stockholder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Company Equity Rights.</w:t>
      </w:r>
      <w:r>
        <w:rPr>
          <w:rFonts w:ascii="Times New Roman;Times;Serif" w:hAnsi="Times New Roman;Times;Serif"/>
          <w:b w:val="false"/>
          <w:i w:val="false"/>
          <w:caps w:val="false"/>
          <w:smallCaps w:val="false"/>
          <w:sz w:val="20"/>
        </w:rPr>
        <w:t xml:space="preserve"> The Company represents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that no options, warrants, restricted stock, restricted stock units, convertible or exchangeable securities, promissory notes convertible into equity, profits interests, phantom equity, or other Security Rights with respect to the Company are issued or outstanding, other than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Any Security Right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that is not exercised, converted, or settled in full prior to the Effective Time shall, as a condition to Closing, have been terminated at or prior to the Effective Time pursuant to a termination agreement in form and substance reasonably acceptable to Parent, without any consideration payable therefor except as expressly set forth in such termination agreement, and, as of the Effective Time, shall be cancelled and of no further force or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At the Second Effective Time, by virtue of the Second Merger and without any action on the part of Parent, First Merger Sub, Second Merger Sub or any other Person,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Second Merger Sub outstanding immediately prior to the Second Effective Time shall remain outstanding and shall constitute all of the outstanding equity interests of the Surviving Company. From and after the Second Effective Time, Parent shall be the sole member of the Surviving Company. For the avoidance of doubt, the Merger Consideration is payable only in respect of the conversion of Shares in the First Merger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and no additional consideration shall be or become payable in respect of the Second Merger.</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8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Aggregate Stock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 </w:t>
      </w:r>
      <w:r>
        <w:rPr>
          <w:rFonts w:ascii="Times New Roman;Times;Serif" w:hAnsi="Times New Roman;Times;Serif"/>
          <w:b w:val="false"/>
          <w:i w:val="false"/>
          <w:caps w:val="false"/>
          <w:smallCaps w:val="false"/>
          <w:sz w:val="20"/>
        </w:rPr>
        <w:t xml:space="preserve">Subject to the terms and conditions of this Agreement, the aggregate consideration payable to the Company Stockholders in respect of all Shares (the “Merger Consideration”) shall consist solely of the Aggregate Stock Consideration, which shall be issued, delivered and paid in a single tranche at the Closing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No cash consideration shall be payable to the Company Stockholders in respect of the Shares, and no Company Stockholder shall be entitled to any earn-out, milestone-contingent issuance, anti-dilution adjustment, retained interest, or other contingent consideration of any kind. The Parties acknowledge that the issuance of the Aggregate Stock Consideration at the Closing requires the prior approval of Parent’s stockholders under Nasdaq Listing Rule 5635, and such approval (the “Parent Stockholder Approval”) shall be obtained prior to the Closing as provided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Aggregate Stock Consideration</w:t>
      </w:r>
      <w:r>
        <w:rPr>
          <w:rFonts w:ascii="Times New Roman;Times;Serif" w:hAnsi="Times New Roman;Times;Serif"/>
          <w:b w:val="false"/>
          <w:i w:val="false"/>
          <w:caps w:val="false"/>
          <w:smallCaps w:val="false"/>
          <w:sz w:val="20"/>
        </w:rPr>
        <w:t>” means 4,800,000 shares of Parent Class A Common Stock as adjusted for any stock split, reverse stock split, stock dividend, recapitalization, reclassification, or similar transaction effected after the Effective Date and prior to the Closing,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(i) the Aggregate Stock Consideration is a fixed, hard floor and ceiling, and the Aggregate Stock Consideration shall be issued in a single tranche at the Closing, subject to receipt of the Parent Stockholder Approval prior to the Closing. The Aggregate Stock Consideration is calculated as of and fixed as of the Closing and is not subject to any post-Closing adjustment, anti-dilution true-up, or restorative equity-grant mechanism; the Company Stockholders bear, on a pro rata and pari passu basis with other holders of Parent Class A Common Stock, any dilution from issuances of Parent Common Stock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of Merger Consideration; Allocation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and deliver to each Company Stockholder (subject to such Company Stockholder’s delivery of a duly executed Letter of Transmittal and IRS Form W-9) such Company Stockholder’s Pro Rata Share of the Aggregate Stock Consideration, in book-entry form, free and clear of all Liens other than transfer restrictions arising under applicable securities Laws and the Investor Rights Agreement. No later than three (3) Business Days following the Closing, Parent shall deliver, or cause to be delivered, irrevocable written instructions to its transfer agent directing the issuance of such shares in book-entry form registered in the names of the Company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shares of Parent Class A Common Stock delivered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issued in reliance on the exemption from registration provided by </w:t>
      </w:r>
      <w:r>
        <w:rPr>
          <w:rFonts w:ascii="Times New Roman;Times;Serif" w:hAnsi="Times New Roman;Times;Serif"/>
          <w:b w:val="false"/>
          <w:i w:val="false"/>
          <w:caps w:val="false"/>
          <w:smallCaps w:val="false"/>
          <w:sz w:val="20"/>
          <w:u w:val="single"/>
        </w:rPr>
        <w:t>Section 4(a)(2)</w:t>
      </w:r>
      <w:r>
        <w:rPr>
          <w:rFonts w:ascii="Times New Roman;Times;Serif" w:hAnsi="Times New Roman;Times;Serif"/>
          <w:b w:val="false"/>
          <w:i w:val="false"/>
          <w:caps w:val="false"/>
          <w:smallCaps w:val="false"/>
          <w:sz w:val="20"/>
        </w:rPr>
        <w:t xml:space="preserve">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Rule 506 of Regulation D promulgated thereunder, and shall bear customary restrictive legends. Each Company Stockholder’s Letter of Transmittal shall include representations as to such Company Stockholder’s status as an “accredited investor” within the meaning of Regulation D, investment intent, and such other matters as Parent reasonably requires to establish the availability of such exemption. Parent shall timely file a Form 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any required state blue-sky notices in respect of such issuance.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9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 less than three (3) Business Days prior to the Closing, the Company shall deliver to Parent an updated allocation schedule (the “Allocation Schedule”), in the form of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setting forth: (i) the name and address of each Company Stockholder; (ii) the type and number of Shares held by such Company Stockholder immediately prior to the Effective Time; (iii) such Company Stockholder’s Pro Rata Share; (iv) the number of shares of Parent Class A Common Stock issuable to such Company Stockholder at the Closing; and (v) delivery instructions for the issuance of book-entry shares to such Company Stockholder. The Allocation Schedule shall be prepared in accordance with the Company’s Organizational Documents and applicable Law and shall be certified as accurate by an officer of the Company. Parent and its Representatives shall be entitled to rely conclusively on the Allocation Schedule, and in no event shall the aggregate number of shares issuable pursuant to the Allocation Schedule exceed the Aggregate Stock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Holdback; Indemnity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Agreement, no portion of the Aggregate Stock Consideration shall be withheld, held back, placed in escrow, or made subject to forfeiture at or following the Closing as security for the indemnification obligations of the Company Stockholders. The Aggregate Stock Consideration shall be issued to the Company Stockholders at the Closing. The indemnification obligations of the Company Stockholders under Article VII shall instead be satisfied in the first instance through the means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(including, in the sole discretion of the Company Stockholders, and each of them, by payment of cash, set-off against amounts otherwise owed by a Parent Indemnified Party to a Company Stockholder under this Agreement (other than compensation for services, and other than any salary, bonus, equity or other compensation or benefits payable to a Company Stockholder in his capacity as a director, officer or employee of Parent or any of its Subsidiaries), and the surrender for cancellation of shares of Parent Class A Common Stock issued hereunder and still held by such Company Stockholder), and no shares shall be withheld or reserved for indemnification purposes. For the avoidance of doubt, nothing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limit any Parent Indemnified Party’s rights and remedies under Article VII, at law, or in equity to enforce the indemnification obligations of the Company Stockholders, including the right to pursue collection of unpaid amounts and to obtain judgment against any Company Stockholder failing to satisfy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Notwithstanding anything in this Agreement to the contrary, Shares issued and outstanding immediately prior to the Effective Time that are held by a Company Stockholder who has not voted in favor of the adoption of this Agreement or consented thereto in writing and who has properly demanded appraisal of such Shares in accordance with, and who complies in all respects with,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and such Company Stockholder shall be entitled only to such rights as are granted by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unless and until such Company Stockholder fails to perfect, effectively withdraws, or otherwise loses such holder’s right to appraisal, in which case such Shares shall be deemed to have been converted as of the Effective Time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without interest. The Company shall give Parent prompt notice of any demands for appraisal received by the Company and the opportunity to participate in all negotiations and proceedings with respect thereto, and shall not, without the prior written consent of Parent, make any payment with respect to, or settle or offer to settle, any such demands. Any portion of the Aggregate Stock Consideration allocable to Dissenting Shares shall not be issued, and the Aggregate Stock Consideration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Parent Class A Common Stock shall be issued in connection with the Mergers, and each Company Stockholder waives and relinquishes any right such Company Stockholder otherwise may have to the value of any fractional share, which value is not included in the consideration hereunder. In allocating the Aggregate Stock Consideration among the Company Stockholders in accordance with their respective Pro Rata Shares, each Company Stockholder’s allocation shall be rounded down to the nearest whole share, and any whole share remaining as a result of such rounding shall be allocated to John Dewey.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10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Parent, the Surviving Corporation, the Surviving Company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applicable Tax Law. To the extent that amounts are so deducted or withheld and timely paid over to the appropriate Governmental Authority, such amounts shall be treated for all purposes of this Agreement as having been paid to the Person in respect of which such deduction and withholding was made. Parent shall, to the extent practicable, provide the Company with prior notice of any anticipated withholding and shall reasonably cooperate with the Company to mitigate or eliminate such withholding to the extent permitted by applicable Law. As of the Effective Date of this Agreement, Parent is not aware of, and has no present plan to make, any such deduction or withholding from the Aggregate Stock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Transfer of Books; No Further Ownership</w:t>
      </w:r>
      <w:r>
        <w:rPr>
          <w:rFonts w:ascii="Times New Roman;Times;Serif" w:hAnsi="Times New Roman;Times;Serif"/>
          <w:b w:val="false"/>
          <w:i w:val="false"/>
          <w:caps w:val="false"/>
          <w:smallCaps w:val="false"/>
          <w:sz w:val="20"/>
        </w:rPr>
        <w:t xml:space="preserve">. At the Effective Time, (a) all Shares outstanding immediately prior to the Effective Time shall be automatically cancelled and retired and shall cease to exist, and each holder of a certificate or book-entry position that immediately prior to the Effective Time represented Shares shall cease to have any rights as a stockholder of the Company, except the right to receive, on the terms and subject to the conditions set forth in this Agreement, the consideration payable in respect of such Shares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in the case of Dissenting Shares, the rights afforded by Section 262 of the DGCL); and (b) the stock transfer books of the Company shall be closed with respect to all Shares outstanding immediately prior to the Effective Time, and no further transfer of any such Shares shall be made on such stock transfer books after the Effective Time. If, after the Effective Time, any certificate formerly representing Shares is presented to the Surviving Corporation, the Surviving Company or Parent, it shall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Nasdaq Compliance</w:t>
      </w:r>
      <w:r>
        <w:rPr>
          <w:rFonts w:ascii="Times New Roman;Times;Serif" w:hAnsi="Times New Roman;Times;Serif"/>
          <w:b w:val="false"/>
          <w:i w:val="false"/>
          <w:caps w:val="false"/>
          <w:smallCaps w:val="false"/>
          <w:sz w:val="20"/>
        </w:rPr>
        <w:t xml:space="preserve">. Notwithstanding anything in this Agreement to the contrary, Parent shall not be required or permitted to issue any shares of Parent Class A Common Stock at the Closing unless the Parent Stockholder Approval has been obtained prior to the Closing in accordance with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In no event shall any shares of Parent Class A Common Stock be issued in circumvention of, or in a manner intended to avoid the application of, Nasdaq Listing Rule 5635.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Tax and Accounting Treatment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intend that the First Merger and the Second Merger, taken together, constitute an integrated transaction that qualifies as a “reorganization” within the meaning of Section 368(a) of the Code, and that this Agreement constitute a “plan of reorganization” within the meaning of Treasury Regulations Sections 1.368-2(g) and 1.368-3. The Aggregate Stock Consideration is calculated as of, and fixed as of, the Closing, and consists solely of voting stock of Parent; no portion of the Merger Consideration is contingent upon, or subject to adjustment by reference to, any event occurring after the Closing (any satisfaction of indemnification obligations by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and the Tax treatment thereof, being addressed in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with the Parties cooperating to preserve the qualification of the Mergers as the 368 Transaction to the greatest extent permitted by applicable Law). Each Party shall use commercially reasonable efforts to cause the Mergers, taken together, to so qualify and shall not take any action, or fail to take any action, that would reasonably be expected to prevent or impede such qualification. The Second Merger shall occur on the same day as, and as part of the same integrated plan as, the First Merger, and no Party shall take any action that would cause the two Mergers to fail to be treated as steps in a single integrated transaction. The Parties shall report the Mergers on their respective Tax Returns in a manner consistent with such intended treatment, unless otherwise required by a “determination” within the meaning of Section 1313(a) of the Code. The Parties acknowledge that any equity-based award granted to any Company Stockholder following the Closing under any equity incentive plan of Parent is granted in respect of such Person’s service to Parent or its Subsidiaries and does not constitute additional consideration for the Mergers or any part of the Aggregate Stock Consideration.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11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the accounting treatment of the Mergers, including the identification of the accounting acquirer and whether the Mergers are accounted for as a business combination or an asset acquisition under Accounting Standards Codification Topic 805, has not been determined as of the Effective Date and shall be determined by Parent in consultation with its independent registered public accounting firm. Each Party shall reasonably cooperate with the other Parties and with such firm in connection with that determination, including by furnishing such financial information and supporting documentation as may reasonably be requested. No representation, warranty, covenant, or condition set forth in this Agreement shall be construed as a representation, warranty, or agreement by any Party as to the accounting treatment of the Mergers, and no particular accounting treatment shall constitute a condition to the obligations of any Party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Budget.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sets forth the Budget governing the operations of the Surviving Company for the three-month period immediately following the Closing. The Budget reflects, among other things, the Surviving Company’s continuing operating obligations, ordinary-course operating expenses, and compensation of personnel engaged in the continuing development and advancement of the Surviving Company’s project portfolio. Following the Closing, the Budget may be amended, supplemented, or replaced by mutual agreement of the Surviving Company and Parent from time to time as operating circumstances require, without amendment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compensation or other payment under the Budget or any successor budget to any Company Stockholder or other related party of Parent shall be subject to the compensation-approval and related-party-transaction policies of Parent, including review by the Parent Audit Committee or the compensation committee of the Parent Board, as applicable. The aggregate Closing Capitalization set forth in the Budget is US$280,000, to be applied by the Surviving Company in accordance with the Budget over the three-month period immediately following the Closing (the “Initial Budget Period”). Within ten (10) Business Days after the Closing, Parent shall fund US$180,000 of the Budget to the Surviving Company by wire transfer of immediately available funds in accordance with instructions provided by the Surviving Company, and Parent shall pay the balance of US$100,000 to the Surviving Company within ten (10) weeks after Closing. Notwithstanding the foregoing and as an express limitation thereof, each such payment shall be reduced by, and offset dollar-for-dollar against, any and all salaries and wages paid by Parent to Surviving Company personnel, and any Surviving Company expenses paid directly by Parent at the request of the Surviving Company, so that no such amounts are counted twice.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Nature of the Stock Consideration.</w:t>
      </w:r>
      <w:r>
        <w:rPr>
          <w:rFonts w:ascii="Times New Roman;Times;Serif" w:hAnsi="Times New Roman;Times;Serif"/>
          <w:b w:val="false"/>
          <w:i w:val="false"/>
          <w:caps w:val="false"/>
          <w:smallCaps w:val="false"/>
          <w:sz w:val="20"/>
        </w:rPr>
        <w:t xml:space="preserve"> Parent agrees and acknowledges that the Aggregate Stock Consideration issued to the Company Stockholders under this Agreement constitutes consideration for the Mergers and the acquisition of the Company, and does not constitute, and shall not be used, treated, or characterized as, consideration payable to any third party in connection with any other acquisition, business combination, or transaction by Parent or any of its Subsidiaries.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12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RELATING TO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the Disclosure Schedules (subject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 Company represents and warrants to Parent, First Merger Sub and Second Merger Sub, as of the Effective Date and as of the Closing Date, as follows (it being understood that each Company Stockholder makes the representations and warranties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and such other representations as are set forth in such Company Stockholder’s Letter of Transmittal, severally as to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Conversion;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in good standing under the Laws of each jurisdiction in which the properties and assets owned, operated, leased or held by it, or the nature of the business conducted by it, makes such qualification, licensing or authorization necessary, except where the failure to be so qualified, licensed or authorized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was, prior to the Effective Date, duly converted from a California limited liability company to a Delaware corporation in accordance with Section 17710.06 of the California Revised Uniform Limited Liability Company Act and Section 265 of the DGCL, effective June 1, 2026; such conversion was duly authorized by all necessary action of the Company’s then managers and members; the Company’s prior status as a limited liability company has been effectively terminated; and the Company has succeeded to all of the assets, rights, liabilities and obligations of the converting entity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sets forth a correct and complete list of (i) each Subsidiary of the Company, including its jurisdiction of formation and the Company’s percentage ownership thereof, and (ii) each membership interest, equity interest, or other ownership interest held by the Company in any other Person that is not a Subsidiary. Except as set forth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no Subsidiaries and does not own, directly or indirectly, any Equity Interest in any Person and is not obligated to acquire any such interest. Without limiting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Montezuma Water Systems, LLC (“</w:t>
      </w:r>
      <w:r>
        <w:rPr>
          <w:rFonts w:ascii="Times New Roman;Times;Serif" w:hAnsi="Times New Roman;Times;Serif"/>
          <w:b/>
          <w:i/>
          <w:caps w:val="false"/>
          <w:smallCaps w:val="false"/>
          <w:sz w:val="20"/>
        </w:rPr>
        <w:t>MWS</w:t>
      </w:r>
      <w:r>
        <w:rPr>
          <w:rFonts w:ascii="Times New Roman;Times;Serif" w:hAnsi="Times New Roman;Times;Serif"/>
          <w:b w:val="false"/>
          <w:i w:val="false"/>
          <w:caps w:val="false"/>
          <w:smallCaps w:val="false"/>
          <w:sz w:val="20"/>
        </w:rPr>
        <w:t xml:space="preserve">”) is a California limited liability company and, as of the Effective Date, a wholly owned Subsidiary of the Company. MWS has been duly formed, is validly existing and in good standing under the Laws of its jurisdiction of formation, and has all requisite power and authority to own, lease, and operate its properties and to carry on its business as presently conducted. As of the Effective Date, the Company owns all of the issued and outstanding membership interests of MWS free and clear of all Liens other than Permitted Liens, and at the Closing the Company will own not less than ninety-seven percent (97%) of such membership interests free and clear of all Liens other than Permitted Liens. As disclosed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offered a minority membership interest in MWS of approximately three percent (3%) to a third-party strategic participant in connection with the development of a designated water project; if and when that interest is issued, MWS will cease to be wholly owned by the Company but will remain a Subsidiary. MWS is an asset of the Company and is not disregarded, collapsed, or merged out of existence in connection with the Mergers.</w:t>
      </w:r>
    </w:p>
    <w:p>
      <w:pPr>
        <w:pStyle w:val="TextBody"/>
        <w:bidi w:val="0"/>
        <w:spacing w:before="0" w:after="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13 of 57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Montezuma Carbon, LLC is a California limited liability company in which the Company holds a minority, non-controlling membership interest as more particularly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Montezuma Carbon, LLC is not a Subsidiary of the Company, and the Company does not control its management, operations, or business affairs.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furnished or otherwise made available to Parent correct and complete copies of the Organizational Documents of the Company and each Subsidiary, as amended and/or restated and in effect as of the date hereof, which Organizational Documents are in full force and effect. Neither the Company nor any Subsidiary is in violation of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where the context otherwise requires, each representation and warranty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each covenant of the Company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shall be deemed to be made with respect to the Company and each of its Subsidiaries, taken together.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such Ancillary Agreements, the performance by the Company of its covenants and obligations hereunder and thereunder, and the consummation by the Company of the transactions contemplated hereby and thereby have been duly and validly authorized and approved by the Company Board and, except for the Company Stockholder Approval and the filing of the First Certificate of Merger and the Second Certificate of Merger with the Secretary of State of the State of Delaware pursuant to the DGCL and the DLLCA, no other corporate proceedings or actions on the part of the Company are necessary to authorize the same.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Company Stockholder has all requisite power, authority and legal capacity to execute and deliver this Agreement (to the extent a party thereto), the Letter of Transmittal and the other Ancillary Agreements to which such Company Stockholder is or will be a party, to perform such Company Stockholder’s covenants and obligations thereunder and to consummate the transactions contemplated thereby, and each such instrument, when executed and delivered, will constitute the legal, valid and binding obligation of such Company Stockholder, enforceable in accordance with its terms,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affirmative vote or written consent of holders of Shares representing not less than the percentage of the outstanding Shares required under the Company’s Organizational Documents and the DGCL to adopt this Agreement and approve the transactions contemplated hereby (the “</w:t>
      </w:r>
      <w:r>
        <w:rPr>
          <w:rFonts w:ascii="Times New Roman;Times;Serif" w:hAnsi="Times New Roman;Times;Serif"/>
          <w:b/>
          <w:i/>
          <w:caps w:val="false"/>
          <w:smallCaps w:val="false"/>
          <w:sz w:val="20"/>
        </w:rPr>
        <w:t>Company Stockholder Approval</w:t>
      </w:r>
      <w:r>
        <w:rPr>
          <w:rFonts w:ascii="Times New Roman;Times;Serif" w:hAnsi="Times New Roman;Times;Serif"/>
          <w:b w:val="false"/>
          <w:i w:val="false"/>
          <w:caps w:val="false"/>
          <w:smallCaps w:val="false"/>
          <w:sz w:val="20"/>
        </w:rPr>
        <w:t>”) is the only vote or consent of holders of the Company’s capital stock required to adopt this Agreement and approve the Mergers. The Company Stockholder Approval has been obtained and is in full force and effect or, if not obtained as of the Effective Date, will be obtained by written consent in lieu of a meeting within two (2) Business Days following the Effective Date, in each case in accordance with the Company’s Organizational Documents and the DGCL.</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sets forth, as of the Effective Date, a correct and complete statement of (i) the authorized capital stock of the Company, (ii) each Company Stockholder and the type and number of Shares held of record and beneficially by such Company Stockholder, and (iii) each option, warrant, restricted stock unit, profits interest, convertible or exchangeable security, promissory note convertible into equity, or other Security Right of any Person to acquire any Share or other Equity Interest of the Company. All outstanding Shares have been duly authorized and validly issued, are fully paid and nonassessable, and were issued in accordance with the Organizational Documents of the Company (or its predecessor limited liability company) and applicable securities Laws or pursuant to valid exemptions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(i) there are no outstanding Security Rights for the purchase or acquisition from the Company of any Shares or other Equity Interests of the Company; (ii) there are no obligations, contingent or otherwise, of the Company to repurchase, redeem or otherwise acquire any Shares, to issue or award any Security Right, or to make any material investment in any Person; (iii) there are no outstanding or authorized equity appreciation, phantom stock, profit participation or similar rights with respect to the Company; and (iv) there are no preemptive rights, rights of first refusal or similar rights with respect to the issuance or sale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agreements to which the Company or any Company Stockholder is a party relating to the voting of any Shares or the registration, sale, redemption or transfer of any Shares, other than this Agreement and the Ancillary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the Company of this Agreement and the Ancillary Agreements to which it is or will be a party, the compliance by the Company with its obligations hereunder and thereunder and the consummation by the Company of the transactions contemplated hereby and thereby, do not and will not: (i) result in a violation or breach of or conflict with the Organizational Documents of the Company or any Subsidiary; (ii) conflict with, violate or constitute (with or without notice or lapse of time, or both) a violation of, in any material respect, any Law applicable to the Company or any Subsidiary or by which any property or asset of the Company or any Subsidiary is bound; (iii) result in a breach of any Order to which the Company or any Subsidiary is subject; (iv) require the delivery of any notice or consent under, result in a violation or breach of, conflict with any provision of, or constitute a default or give rise to any right of termination, acceleration or cancellation or loss of benefit under, or accelerate the performance required by, or give rise to any obligation of the Company or any Subsidiary to make any payment under, any Material Contract,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or (v) result in the creation of any Lien, except for Permitted Liens, on any property or asset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no consent, approval or authorization of, waiting period expiration or termination, or registration, qualification, declaration or filing with or notification to, any Governmental Authority or any other Person is required in connection with the execution, delivery and performance by the Company of this Agreement or the consummation of the transactions contemplated hereby, other than the filing of the First Certificate of Merger and the Second Certificate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delivered to Parent (or will deliver prior to the Closing) correct and complete copies of the unaudited Financial Statements of the Company for the two (2) most recently completed fiscal years (including the corresponding periods of its predecessor limited liability company) and any subsequent interim period (collectively,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 xml:space="preserve">”), in each case prepared on the basis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The Company Financial Statements present fairly, in all material respects, the financial position and results of operations of the Company as of the dates and for the periods indicated, subject to (i) normal year-end adjustments, (ii) the absence of footnotes that would otherwise be required by GAAP, and (iii) the qualifications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which the Parties acknowledge reflect the Company’s status as a development-stage enterprise. The books and records of the Company have been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no material Liabilities, except for Liabilities (i) reflected on the most recent balance sheet included in the Company Financial Statements, (ii) incurred since the date of such balance sheet in the ordinary course of business consistent with past practice (none of which results from, arises out of, or was caused by any breach of contract, breach of warranty, tort, infringement or violation of Law), (iii) arising under the executory terms of any Contract or Permit binding on the Company (excluding liabilities arising from any breach or default thereunder), (iv) arising in connection with this Agreement and the transactions contemplated hereby, or (v) set forth on </w:t>
      </w: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date of the most recent balance sheet included in the Company Financial Statements through the date of this Agreement, except for the execution of this Agreement and the discussions, negotiations and transactions related hereto, (a) the Company has conducted its business in all material respects in the ordinary course of business consistent with past practice, and (b) there has not occurred a Material Adverse Effect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The Company has good, valid and marketable title to, or a valid leasehold interest in or a valid right to use, all of the material properties and assets (tangible and intangible) used in or necessary for the conduct of its business as presently conducted, free and clear of any Liens other than Permitted Liens. No material asset used in the business of the Company is in the possession, custody or control of any Person other than the Company, and no Related Party owns or has any interest in any asset used by the Company in its business,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 lists each parcel of real property (including any mineral, geothermal or water rights or interests therein) owned, leased, licensed or contracted for by the Company or any Subsidiary, including the Russell Bros. Ranches site at 6998 Kalin Road, Calipatria, California, to the extent the Company holds or has rights to such site. The Company has good and marketable title to, or valid leasehold or contractual interests in, each such parcel or interest, free and clear of all Liens other than Permitted Liens. Neither the Company nor any Subsidiary has received written notice of any violation of any zoning, land-use or similar Law applicable to any such property that remains uncured, or of any pending or threatened condemnation or similar proceeding affecting any such property.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16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at all times during the three (3)-year period prior to the Effective Date has been (including as to its predecessor limited liability company), in compliance in all material respects with all Laws applicable to it or its business, properties or assets,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(i) the Company has not received any written notice of any violation or deficiency with respect to any applicable Law; (ii) to the Knowledge of the Company, no investigation or review by any Governmental Authority relating to the Company is pending or threatened; and (iii) the Company has not made any voluntary disclosure to any Governmental Authority with respect to any actual or potential material non-compliance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The Company is and has been in compliance in all material respects with such Permits, and no Action is pending or, to the Knowledge of the Company, threatened to modify, suspend, revoke, withdraw, terminate or otherwise limit any such Permit. No such Permit will be subject to termination or impairment, or will become subject to any consent, approval, notice or reissuance requirement, as a result of the consummation of the transactions contemplated hereby, including the Mergers (it being acknowledged that the operator-of-record and bonding matters described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are governed by the arrangements identified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(a) there is no Action pending or, to the Knowledge of the Company, threatened against or affecting the Company or any Subsidiary or their respective businesses, properties or assets, and (b) neither the Company nor any Subsidiary has received or entered into, or is subject to, any outstanding Order. There is no unsatisfied judgment or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sets forth a correct and complete list of each of the following Contracts to which the Company or any Subsidiary is a party or is otherwise bound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 xml:space="preserve">”): (i) any Contract (or group of related Contracts) that involved expenditures or receipts of more than $100,000 in the last fiscal year or that is expected to involve expenditures or receipts of more than $100,000 in the current fiscal year; (ii) any Contract relating to indebtedness, any Lien on any property or asset, or any loan or advance to, or investment in, any Person; (iii) any Contract relating to any joint venture, partnership, joint development, teaming, sponsorship, or similar arrangement, including any Contract relating to any Designated Project or any project-level special purpose vehicle; (iv) any Contract with any Governmental Authority or any prime contractor or higher-tier subcontractor to a Governmental Authority; (v) any Contract containing covenants restricting competition, granting exclusivity, containing most-favored-nation pricing, minimum purchase requirements, or “non-solicitation” or “no-hire” provisions running in favor of another Person; (vi) any Contract involving the settlement of any Action; (vii) any Contract under which the Company is a lessee of, or holds or operates, real or material personal property owned by a third party; (viii) any Contract with respect to Intellectual Property to which the Company is a licensee or licensor (other than unmodified, commercially available off-the-shelf software); (ix) any Contract with any Related Party or any Parent Related Party; (x) any Contract relating to the acquisition or disposition of any business, project, mineral or water right, or material asset (whether by merger, sale of stock, sale of assets, assignment or otherwise), including the Catellus PSA and the related assignment and management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(xi) any other Contract not listed in clauses (i) through (x)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17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furnished or otherwise made available to Parent complete and correct copies of each Material Contract, in each case as amended and in effect on the date of this Agreement. Each Material Contract is valid, binding and enforceable as to the Company or its applicable Subsidiary and is in full force and effect (other than due to ordinary expiration of its term) and, to the Knowledge of the Company, is valid, binding and enforceable as to the other party or parties thereto,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Neither the Company nor any Subsidiary is in material breach or default under any Material Contract, and, to the Knowledge of the Company, no other party to any Material Contract is in material breach or default thereunder, and no event has occurred that with or without the lapse of time or the giving of notice or both would constitute such a material breach or default. The Company has not received written or, to the Knowledge of the Company, oral notice of the intention of any party to terminate, cancel, not renew or materially modify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valid and enforceable rights to use, all material Intellectual Property used in or necessary for the conduct of its business as presently conducted, free and clear of all Liens other than Permitted Liens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 xml:space="preserve">”), including the Company’s proprietary deal-sourcing methodologies, project-development frameworks (including the “Mesa-template” architecture), pro forma model libraries, and water-purchase-agreement bankable form templates.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lists all issued patents, registered trademarks, registered copyrights, registered domain names and pending applications for any of the foregoing owned or exclusively licensed by the Company,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Company, the Company is not infringing, misappropriating or violating any Intellectual Property of any third party, and no third party is infringing, misappropriating or violating any Company Intellectual Property. The Company is not a party to or the subject of any pending or, to the Knowledge of the Company, threatened Action involving any claim of infringement, misappropriation or violation of Intellectual Property, or challenging the ownership, use, validity or enforceability of any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taken commercially reasonable measures to protect the confidentiality of its material Proprietary Information. Each current and former employee, consultant, special advisor and contractor of the Company who has been involved in the authorship, invention, creation, conception or other development of any material Company Intellectual Property has executed and delivered to the Company a customary intellectual property assignment and confidentiality agreement, and copies of all such agreements have been provided to Parent. No such Person has excluded from assignment, or asserted any ownership or exclusive right in, any such Intellectual Property, and no remuneration is due to any such Person in respect of any assignment or exploitation thereof other than as expressly provided in such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government funding, or facilities or resources of any government, international organization, university, college, other educational institution or research center, was used in the development of any material Company Intellectual Property in a manner that would grant any such Person any right, title or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Privacy; Data Security; IT Systems</w:t>
      </w:r>
      <w:r>
        <w:rPr>
          <w:rFonts w:ascii="Times New Roman;Times;Serif" w:hAnsi="Times New Roman;Times;Serif"/>
          <w:b w:val="false"/>
          <w:i w:val="false"/>
          <w:caps w:val="false"/>
          <w:smallCaps w:val="false"/>
          <w:sz w:val="20"/>
        </w:rPr>
        <w:t>. The Company is and has been in compliance in all material respects with all applicable Data Security Requirements. To the Knowledge of the Company, in the last five (5) years there has been no security breach or intrusion into, or unauthorized access to or use of, the Company’s information-technology systems or any Personal Information or business data handled by or on behalf of the Company, and no circumstance has required the Company to notify any Person or Governmental Authority of any data-security breach. The Company’s information-technology systems are adequate in all material respects for the operation of the business of the Company as currently conducted.</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18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(a) the operations of the Company and its Subsidiaries have been conducted in compliance in all material respects with all applicable Environmental Laws; (b) neither the Company nor any Subsidiary has received written notice claiming or alleging any material non-compliance with, or material liability under, any Environmental Law; (c) the Company and its Subsidiaries hold, and are in compliance in all material respects with, all material Permits required under applicable Environmental Laws for the operation of the business as currently conducted; (d) neither the Company nor any Subsidiary has treated, stored, disposed of, arranged for or permitted the disposal of, transported, handled, exposed any Person to, or released any Hazardous Substance, or owned, operated or held any interest in any real property or facility (including any well, mineral right or geothermal interest) contaminated by any Hazardous Substance, in each case so as to give rise to any material liability (contingent or otherwise) under Environmental Laws; (e) neither the Company nor any Subsidiary has assumed, undertaken, provided an indemnity with respect to, or otherwise become subject to any material liability of any other Person relating to Environmental Laws (except as expressly set forth in a Material Contract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and (f) there are no Actions pending or, to the Knowledge of the Company, threatened against the Company or any Subsidiary alleging a material violation of, or seeking to impose material liability under, any Environmental Law. The Company has furnished or otherwise made available to Parent copies of all environmental site assessments, investigations, studies, audits, well records, plugging and abandonment estimates, and similar reports in its possession or reasonable control relating to the current or former businesses, properties, projects or interests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duly and timely filed all income and other material Tax Returns required to be filed by or with respect to it (including, for all relevant periods, its predecessor limited liability company), and all such Tax Returns are true, complete and accurate in all material respects. All Taxes due and owing by the Company (whether or not shown on any Tax Return) have been timely paid. The unpaid Taxes of the Company did not, as of the date of the most recent balance sheet included in the Company Financial Statements, exceed the reserve for Tax liability set forth thereon, and the Company has not incurred any liability for Taxes outside the ordinary course of business since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the assets of the Company. No deficiencies for Taxes have been claimed, proposed or assessed in writing against the Company by any Governmental Authority that have not been paid or otherwise resolved in full, and no audit, examination or other Action with respect to Taxes of the Company is pending or, to the Knowledge of the Company, threatened. The Company has not waived any statute of limitations in respect of Taxes or agreed to any extension of time with respect to a Tax assessment or deficiency that remains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the Company and have been classified as independent contractors were properly so classified for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sets forth a description of the Company’s U.S. federal income tax classification for all periods since formation, including the effects of the Company’s conversion from a California limited liability company to a Delaware corporation effective June 1, 2026 (including whether such conversion was treated as a contribution described in Section 351 of the Code or otherwise, the Tax classification of the predecessor limited liability company for each period, and any elections filed under Treasury Regulations Section 301.7701-3). The Company is, and at all times since June 1, 2026 has been, classified as a corporation for U.S. federal income Tax purposes, and has taken no position on any Tax Return inconsistent with such classification.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19 of 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the Company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during the applicable period specified in Section 897(c)(1)(A)(ii)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taken any action, nor to the Knowledge of the Company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Employees; Consultants; Benefit Plans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no employees and has never had any employee, whether classified as a W-2 employee or otherwise. The Company is, and since its formation has been, operated directly by its two founding stockholders, Paul Singarella and John Dewey, each of whom provides services to the Company in his capacity as an owner and manager of the Company and not as an employee; the Company was member-managed during the period in which it existed as a California limited liability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maintains a roster of special advisors and consultants with whom it consults on a routine basis, the substantial majority of whom provide services on a sweat-equity basis and certain of whom provide services on a fee basis.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as of the Effective Date, of each special advisor and consultant engaged by the Company, the basis on which each is engaged, and all compensation (cash, equity, contingent or otherwise) payable to each. The Company has properly classified all such Persons under applicable Law, and there is no Action pending or, to the Knowledge of the Company, threatened challenging any such classification. No such Person is entitled to any severance, change-in-control, transaction, retention or similar payment as a result of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sponsors, maintains, and contributes to no Employee Benefit Plan, no equity incentive plan, and no deferred compensation arrangement, has no liability (contingent or otherwise) with respect to any of the foregoing, and has no obligation to establish any of the foregoing. Neither the execution of this Agreement nor the consummation of the transactions contemplated hereby will, alone or in combination with any other event, result in any payment or benefit that would constitute an “excess parachute payment” within the meaning of Section 280G(b) of the Code or require any “gross-up” payment to any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of the Disclosure Schedules lists all policies of insurance owned or held by the Company as of the date of this Agreement. All such policies are in full force and effect, all premiums due thereon have been paid, and no notice of cancellation, termination, non-renewal or denial of coverage has been received by the Company with respect thereto. The Company is not in default under any such policy, and there is no material claim pending under any such policy as to which coverage has been questioned, denied or disputed.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Project Portfolio; Status of Development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sets forth a true, complete, and correct status report on each of the Company’s development projects, in each case as of the Effective Date, including: (a) the current project plan, schedule, and budget; (b) the identity of all counterparties, including offtakers, sponsoring agencies, joint venture partners, and engineering, procurement, and construction contractors; (c) the status of each material permit, consent, and Governmental Authority approval; and (d) any material risks or uncertainties identified by the Company. The factual information set forth in such status report (as distinct from any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true, complete and correct in all material respects. The status report may also set forth the Company’s then-current views as to the probability of achieving financial close; the Company makes no representation or warranty as to any such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The Company makes no representation or warranty as to the actual outcome of any such development project, and Parent acknowledges that all such development projects are in pre-construction and/or pre-financial-close stages and are subject to the development risks customary for projects of their type.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Designated Projects; Development Pipeline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sets forth, as of the Effective Date, a list of the project origination and development opportunities and federal program pursuits currently under evaluation, negotiation, or active pursuit by the Company (the “</w:t>
      </w:r>
      <w:r>
        <w:rPr>
          <w:rFonts w:ascii="Times New Roman;Times;Serif" w:hAnsi="Times New Roman;Times;Serif"/>
          <w:b/>
          <w:i/>
          <w:caps w:val="false"/>
          <w:smallCaps w:val="false"/>
          <w:sz w:val="20"/>
        </w:rPr>
        <w:t>SPD Pipeline</w:t>
      </w:r>
      <w:r>
        <w:rPr>
          <w:rFonts w:ascii="Times New Roman;Times;Serif" w:hAnsi="Times New Roman;Times;Serif"/>
          <w:b w:val="false"/>
          <w:i w:val="false"/>
          <w:caps w:val="false"/>
          <w:smallCaps w:val="false"/>
          <w:sz w:val="20"/>
        </w:rPr>
        <w:t>”; the projects, assets and businesses so listed, the “</w:t>
      </w:r>
      <w:r>
        <w:rPr>
          <w:rFonts w:ascii="Times New Roman;Times;Serif" w:hAnsi="Times New Roman;Times;Serif"/>
          <w:b/>
          <w:i/>
          <w:caps w:val="false"/>
          <w:smallCaps w:val="false"/>
          <w:sz w:val="20"/>
        </w:rPr>
        <w:t>Designated Projects</w:t>
      </w:r>
      <w:r>
        <w:rPr>
          <w:rFonts w:ascii="Times New Roman;Times;Serif" w:hAnsi="Times New Roman;Times;Serif"/>
          <w:b w:val="false"/>
          <w:i w:val="false"/>
          <w:caps w:val="false"/>
          <w:smallCaps w:val="false"/>
          <w:sz w:val="20"/>
        </w:rPr>
        <w:t xml:space="preserve">”). The information set forth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was prepared in good faith based on the Company’s internal project-based assessments and the counterparty, agency, and engineering relationships of its principals and technical team. Notwithstanding the foregoing, the Company makes no representation or warranty as to the projected commencement year, probability of execution, probability of achieving financial close, revenue, contract value, award amount, or any other estimate set forth on or furnished in respect of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each of which is uncertain and subject to material revision. The inclusion of any item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shall not constitute a representation or warranty that the Company holds any contractual right, option, license, award, or other binding interest in respect of such item, that the Company has consummated or will consummate any sale, lease, license, joint venture, project award, or other transaction in respect thereof, or that any such item is or will become a binding commitment of the Company or of any other Person. The Company’s interest in each item listed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is, as of the Effective Date, of a relationship-, design-, pilot-, application-, or proposal-stage nature, except to the extent expressly stated otherwise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and the stage of advancement, capital intensity, and likelihood of consummation varies materially across the items listed.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the sole and exclusive representation and warranty of the Company with respect to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the Designated Projects, and the SPD Pipeline, and no other representation or warranty in this Agreement, including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shall be construed to apply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does not apply to, and does not qualify or disclaim, the Company’s membership interest in Montezuma Carbon, LLC, which is represented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and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(the inclusion of Montezuma Carbon, LLC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reflecting the project opportunity associated with that entity and not the ownership interest itself), and (ii) nothing in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qualifies or disclaims the representations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(Other Information) as they apply to factual (as distinct from predictive) information furnished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Government Programs; Anti-Corruption; Trade Controls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lists each Contract, grant, cooperative agreement, or program participation of the Company with or under any Governmental Authority (including any U.S. Department of Energy or U.S. Department of Defense program), and each pending application or proposal therefor. The Company is, and has been, in compliance in all material respects with the terms of each of the foregoing and all applicable Laws relating thereto; the Company has not been debarred, suspended or proposed for debarment or suspension or otherwise excluded from participation in any government program; and the Company has not received any cure notice, show-cause notice, notice of termination for default, or written allegation of any violation of the False Claims Act.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to the Knowledge of the Company, each of its directors, officers, consultants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and has been, in compliance in all material respects with all applicable export, import, trade-control and economic sanctions Laws, and has not engaged in any transaction or dealing, directly or indirectly, with any Person that is the target of U.S. economic sanctions or that appears on any restricted-party list.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of the Disclosure Schedules, no broker, finder, investment banker, or other Person is entitled to any brokerage, finder’s, or other fee or commission in connection with the transactions contemplated by this Agreement based upon arrangements made by or on behalf of the Company or any Company Stockholder.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identifies each broker, finder or intermediary who has acted for or been engaged by the Company or any Company Stockholder in connection with the transactions contemplated hereby or any related transaction, and discloses whether any such Person has also acted for or been engaged by Parent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Affiliate and Parent Related-Party Transactions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of the Disclosure Schedules sets forth a true, complete, and correct list of each Contract, arrangement, account, indebtedness or other obligation between the Company or any Subsidiary, on the one hand, and any Company Stockholder,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on the other hand.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no Related Party (i) owns or has any interest in any asset used by the Company, (ii) is indebted to, or has any amount owing to it from, the Company, or (iii) is a party to any Contract with the Company, in each case other than ordinary-course arrangements disclosed pursuant to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further sets forth a true, complete, and correct list and description of every transaction, Contract, arrangement, payment, loan, compensation arrangement, ownership interest or other relationship, whether or not in writing, between the Company, any Subsidiary or any Company Stockholder (or any Affiliate or immediate family member of any of them), on the one hand, and Parent, any Subsidiary of Parent, or any director, officer, five percent (5%) or greater stockholder, employee or Affiliate of Parent, on the other hand (each such counterparty, a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including (i) the Catellus mineral-rights purchase and sale arrangements and the assignment thereof to Parent or its designee, (ii) the Management and Operating Services Agreement between the Company and Parent (or its designated subsidiary), (iii) any other project origination, assignment, fee, reimbursement or services arrangement between the Company or its Affiliates and Parent or its Affiliates (including any arrangement relating to the transactions referred to by the Parties as the “Trevi” and “Winner” opportunities), and (iv) any engagement of any broker, advisor or intermediary who has acted for both the Company (or any Company Stockholder) and Parent (or any of its Affiliates). The Company has furnished to Parent correct and complete copies (or, if oral, accurate written summaries) of each of the foregoing.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Company Stockholders have furnished to Parent all information in their possession or control reasonably necessary for Parent to comply with its disclosure obligations under Item 404 of Regulation S-K and the rules of The Nasdaq Stock Market LLC in respect of the relationships and arrangements described in this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information is true, complete and correct in all material respects.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Title to Shares</w:t>
      </w:r>
      <w:r>
        <w:rPr>
          <w:rFonts w:ascii="Times New Roman;Times;Serif" w:hAnsi="Times New Roman;Times;Serif"/>
          <w:b w:val="false"/>
          <w:i w:val="false"/>
          <w:caps w:val="false"/>
          <w:smallCaps w:val="false"/>
          <w:sz w:val="20"/>
        </w:rPr>
        <w:t xml:space="preserve">. Each Company Stockholder owns, beneficially and of record, the Shares set forth opposite such Company Stockholder’s name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free and clear of any and all Liens (other than transfer restrictions of general applicability under applicable securities Laws), and has full power and authority to transfer such Shares pursuant to the First Merger. No Company Stockholder is a party to any voting trust, proxy, or other agreement or understanding with respect to the voting or transfer of any Shares, other than this Agreement and the Ancillary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Each Company Stockholder has made, or prior to the Closing will make, in such Company Stockholder’s Letter of Transmittal, representations and warranties to Parent as to such Company Stockholder’s status as an “accredited investor” within the meaning of Rule 501(a) of Regulation D under the Securities Act, investment intent, access to information concerning Parent, understanding of the restricted nature of the shares of Parent Class A Common Stock issuable hereunder, and related matters, and each such representation and warranty will be true and correct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xml:space="preserve">. The information furnished by the Company or the Company Stockholders to Parent, First Merger Sub and/or Second Merger Sub pursuant to this Agreement (including information contained in the exhibits hereto, the Disclosure Schedules, the instruments referred to in the Disclosure Schedules and the certificates and other documents to be executed or delivered pursuant hereto by the Company at or prior to the Closing) is not, and at the Closing will not be, false or misleading in any material respect, and does not contain any misstatement of material fact or omit to state any material fact required to be stated to make the statements therein, in light of the circumstances under which they were made, not misleading; provided that no representation is made under this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as to any view, estimate or projection of the kind addressed exclusively by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Except for the representations and warranties expressly set forth in this Article III (as qualified by the Disclosure Schedules) and in the Ancillary Agreements, neither the Company nor any of its Representatives has made or makes any other representation or warranty, express or implied, and the Company hereby disclaims any such other representation or warranty, including with respect to the future probability of success of any development project or the future amount of any fee payable in respect thereof.</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PARENT, FIRST MERGER SUB AND SECOND MERGER SUB</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Parent Disclosure Schedule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or in Parent’s SEC Reports filed with the SEC on or after January 1, 2025 and prior to the Effective Date (other than any disclosure included in any “risk factors” or “forward-looking statements” section of such SEC Reports or any other disclosure to the extent it is predictive, cautionary, or forward-looking in nature), Parent, First Merger Sub and Second Merger Sub jointly and severally represent and warrant to the Company, as of the Effective Date and as of the Closing Date,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Parent is a corporation duly incorporated, validly existing and in good standing under the Laws of the State of Delaware. First Merger Sub is (or upon formation will be) a corporation duly incorporated, validly existing and in good standing under the Laws of the State of Delaware. Second Merger Sub is (or upon formation will be) a limited liability company duly formed, validly existing and in good standing under the Laws of the State of Delaware. Each of Parent, First Merger Sub and Second Merger Sub has the requisite corporate or limited liability company power and authority to own, operate, lease and hold its properties and assets and to carry on its business as presently conducted.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 xml:space="preserve">. Each of Parent, First Merger Sub and Second Merger Sub has all requisite corporate or limited liability company power and authority to execute and deliver this Agreement and the Ancillary Agreements to which it is or will be a party, to perform its respective covenants and obligations hereunder and thereunder and to consummate the transactions contemplated hereby and thereby. The execution and delivery by each of Parent, First Merger Sub and Second Merger Sub of this Agreement and such Ancillary Agreements, the performance by it of its respective covenants and obligations hereunder and thereunder, and the consummation of the transactions contemplated hereby and thereby have been duly and validly authorized by all necessary corporate or limited liability company action, including (a) the approval of this Agreement by the Parent Board (acting on the recommendation of the Parent Audit Committee and by the affirmative vote of the disinterested directors, as described in the Recitals), (b) the approval of this Agreement by the board of directors of First Merger Sub and by Parent as the sole stockholder of First Merger Sub, and (c) the approval of this Agreement by the manager or managing member of Second Merger Sub and by Parent as the sole member of Second Merger Sub, and, except if required by applicable Law or the rules of The Nasdaq Stock Market LLC as contemplated by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the filing of the First Certificate of Merger and the Second Certificate of Merger, no other corporate or limited liability company action on the part of Parent, First Merger Sub or Second Merger Sub is necessary to authorize the same. This Agreement and each Ancillary Agreement to which Parent, First Merger Sub or Second Merger Sub is or will be a party has been or will be duly executed and delivered by it and, assuming the due authorization, execution and delivery by each of the other parties hereto or thereto, constitutes, or upon execution and delivery will constitute, a legal, valid and binding obligation of it, enforceable against it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each of Parent, First Merger Sub and Second Merger Sub of this Agreement and the Ancillary Agreements to which it is or will be a party, the compliance by it with its obligations hereunder and thereunder and the consummation by it of the transactions contemplated hereby and thereby, do not and will not: (i) result in a violation or breach of or conflict with its Organizational Documents; (ii) conflict with, violate or constitute (with or without notice or lapse of time, or both) a violation of, in any material respect, any material Law applicable to it or by which any of its properties or assets is bound; or (iii) require the delivery of any notice or consent under, result in a violation or breach of, conflict with any provision of, or constitute a default or give rise to any right of termination, acceleration or cancellation or loss of material benefit under, any material Contract to which it is a party,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or authorization of, or registration, qualification, declaration or filing with or notification to, any Governmental Authority is required in connection with the execution, delivery and performance by Parent, First Merger Sub or Second Merger Sub of this Agreement or the consummation of the transactions contemplated hereby, other than (i) the filing of the First Certificate of Merger and the Second Certificate of Merger with the Secretary of State of the State of Delaware, (ii) the filing of a Form D and any state blue-sky notices, (iii) the filings and notices required under the Exchange Act and the rules of The Nasdaq Stock Market LLC (including a Current Report on Form 8-K and a listing-of-additional-shares notification), and (iv) any other consents, approvals, authorizations, registrations, qualifications, declarations, filings, or notifications that, if not obtained, made, or given, would not have a material adverse impact on the ability of Parent, First Merger Sub or Second Merger Sub to consummate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the Merger Subs</w:t>
      </w:r>
      <w:r>
        <w:rPr>
          <w:rFonts w:ascii="Times New Roman;Times;Serif" w:hAnsi="Times New Roman;Times;Serif"/>
          <w:b w:val="false"/>
          <w:i w:val="false"/>
          <w:caps w:val="false"/>
          <w:smallCaps w:val="false"/>
          <w:sz w:val="20"/>
        </w:rPr>
        <w:t>. First Merger Sub and Second Merger Sub were (or will be) formed solely for the purpose of engaging in the transactions contemplated hereby, have not engaged (and prior to the Effective Time will not engage) in any business activities or conducted any operations other than in connection with the transactions contemplated hereby, and have (and at the Effective Time will have) no assets, liabilities or obligations other than those incident to their organization and the execution of this Agreement and the consummation of the transactions contemplated hereby. All of the issued and outstanding shares of capital stock of First Merger Sub are (and as of the Effective Time will be) duly authorized, validly issued, fully paid and nonassessable and owned of record and beneficially by Parent, free and clear of all Liens. All of the outstanding membership interests of Second Merger Sub are (and as of the Second Effective Time will be) duly authorized and validly issued and owned of record and beneficially by Parent, free and clear of all Liens. Second Merger Sub is, and at all times through the Second Effective Time will be, an entity disregarded as separate from Parent for U.S. federal income Tax purposes.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sets forth, as of the Effective Date, a true, complete, and correct statement of Parent’s capital structure on a fully-diluted basis, including (a) the number of authorized, issued, and outstanding shares of each class of Parent Common Stock and Parent preferred stock; (b) the number of shares of Parent Common Stock issuable upon the exercise, conversion, vesting, or settlement of all options, warrants, restricted stock units, convertible securities, and other rights to acquire Parent Common Stock then outstanding; and (c) Parent’s good-faith projection of the Pre-Closing Dilution Stack as of the anticipated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of Parent Class A Common Stock to be issued as Aggregate Stock Consideration hereunder, when issued in accordance with this Agreement, will be duly authorized, validly issued, fully paid, and nonassessable, and will be issued free and clear of all Liens other than transfer restrictions arising under applicable securities Laws and the Investor Rights Agreement, and will not be issued in violation of any preemptive or similar right of any Person. The issuance of such shares will be in compliance with all applicable securities Laws, assuming the accuracy of the representations of the Company Stockholders referred to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Parent has timely filed or furnished, as applicable, all reports, schedules, forms, statements, and other documents required to be filed or furnished by it with or to the SEC pursuant to the Securities Act and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since January 1, 2025 (collectively, the “</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As of their respective filing dates (or, if amended or superseded by a filing prior to the Effective Date, on the date of such amendment or superseding filing), the SEC Reports complied in all material respects with the applicable requirements of the Securities Act and the Exchange Act, and did not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Parent Class A Common Stock is listed on The Nasdaq Stock Market. Except as disclosed in the SEC Reports, Parent has not received any notice from Nasdaq or any other Governmental Authority of any delisting or threatened delisting of the Parent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Sufficient Authorized Shares</w:t>
      </w:r>
      <w:r>
        <w:rPr>
          <w:rFonts w:ascii="Times New Roman;Times;Serif" w:hAnsi="Times New Roman;Times;Serif"/>
          <w:b w:val="false"/>
          <w:i w:val="false"/>
          <w:caps w:val="false"/>
          <w:smallCaps w:val="false"/>
          <w:sz w:val="20"/>
        </w:rPr>
        <w:t>. Parent has, as of the Effective Date, and will have as of the Closing, a sufficient number of authorized but unissued shares of Parent Class A Common Stock to permit the issuance of the Aggregate Stock Consideration contemplated by this Agreement, after taking into account all other shares of Parent Common Stock reserved for issuance under Parent’s equity incentive plans and pursuant to outstanding options, warrants, and convertible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no broker, finder, investment banker, or other Person is entitled to any brokerage, finder’s, or other fee or commission in connection with the transactions contemplated by this Agreement based upon arrangements made by or on behalf of Parent, First Merger Sub or Second Merger Sub.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identifies each broker, finder or intermediary who has acted for or been engaged by Parent or any of its Affiliates in connection with the transactions contemplated hereby or any related transaction, and discloses whether any such Person has also acted for or been engaged by the Company or any Company Stockholder.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xml:space="preserve">. Parent, First Merger Sub and Second Merger Sub each acknowledge that they have conducted, to their satisfaction (subject to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an independent investigation of the financial condition, results of operations, assets, liabilities, obligations, tangible and intangible properties and interests, and projected operations of the Company and the Company’s development projects and prospects, and, in making the determination to proceed with the transactions contemplated by this Agreement, Parent, First Merger Sub and Second Merger Sub have relied on the results of their own independent investigation </w:t>
      </w:r>
      <w:r>
        <w:rPr>
          <w:rFonts w:ascii="Times New Roman;Times;Serif" w:hAnsi="Times New Roman;Times;Serif"/>
          <w:b/>
          <w:i w:val="false"/>
          <w:caps w:val="false"/>
          <w:smallCaps w:val="false"/>
          <w:sz w:val="20"/>
        </w:rPr>
        <w:t>and</w:t>
      </w:r>
      <w:r>
        <w:rPr>
          <w:rFonts w:ascii="Times New Roman;Times;Serif" w:hAnsi="Times New Roman;Times;Serif"/>
          <w:b w:val="false"/>
          <w:i w:val="false"/>
          <w:caps w:val="false"/>
          <w:smallCaps w:val="false"/>
          <w:sz w:val="20"/>
        </w:rPr>
        <w:t xml:space="preserve"> on the representations and warranties of the Company and the Company Stockholders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Letters of Transmittal and the Ancillary Agreements. Nothing in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shall limit or affect any claim in respect of any such representation or warranty, any claim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or any claim based on fraud, willful misconduct or intentional misrepresentation.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have duly and timely filed all income and other material Tax Returns required to be filed by or with respect to it, and all such Tax Returns are true, complete and accurate in all material respects. All Taxes due and owing by Parent and its Subsidiaries (whether or not shown on any Tax Return) have been timely paid. The unpaid Taxes of the Parent and its Subsidiaries did not, as of the date of the most recent balance sheet for Parent and its Subsidiaries, exceed the reserve for Tax liability set forth thereon, and the Parent and its Subsidiaries have not incurred any liability for Taxes outside the ordinary course of business since such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Parent’s assets or its Subsidiaries’ assets. No deficiencies for Taxes have been claimed, proposed or assessed in writing against Parent and its Subsidiaries by any Governmental Authority that have not been paid or otherwise resolved in full, and no audit, examination or other Action with respect to Taxes of Parent and/or its Subsidiaries is pending or, to the Knowledge of Parent and/or its Subsidiaries, threatened. Parent and its Subsidiaries have not waived any statute of limitations in respect of Taxes or agreed to any extension of time with respect to a Tax assessment or deficiency that remains in effect.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26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have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Parent and its Subsidiaries and have been classified as independent contractors were properly so classified for Tax purposes.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its Subsidiaries are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Parent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its Subsidiaries have not taken any action, nor to the Knowledge of Parent and its Subsidiaries,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AND AGREEMENTS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Date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by applicable Law, (y) as required or otherwise expressly permitted or contemplated by this Agreement (including in connection with any Excluded Activities)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and shall cause each Subsidiary to, (i) conduct its business in the ordinary course consistent with past practice, and (ii) use commercially reasonable efforts to (A) preserve substantially intact its business organization, (B) preserve its current relationships with material counterparties, including project counterparties, sponsoring agencies, and advisors, and (C) maintain in effect its Permits and insurance.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during the Interim Period, except (x) as required by applicable Law, (y) as required or otherwise expressly permitted or contemplated by this Agreement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not, and shall cause each Subsidiary not 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 its Organizational Documents (other than any amendment or amendment and restatement of the limited liability company agreement of MWS effected solely to admit the third-party strategic participant, and to issue the minority membership interest,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27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 or make any distribution or other payment in respect of its Equity Interests, (B) split, combine, recapitalize or reclassify any of its Equity Interests, or (C) purchase, redeem or otherwise acquire any of its Equity Interests or any Security Right;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(other than the MWS minority interest described in clause (i));</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 for borrowed money, or make any loan or advance to any Person;</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 capital addition or capital improvement in excess of $50,000 individually or $150,000 in the aggregate;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transfer, lease, license, mortgage, encumber or otherwise dispose of, or agree to sell, transfer, lease, license, mortgage, encumber or otherwise dispose of, any material properties or assets (including any interest in any Designated Project, mineral or water right, or project-level special purpose vehicle), except in the ordinary course of business consistent with past practice;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amend, modify, terminate, novate or assign any Material Contract, or enter into any Contract that would be a Material Contract had it been entered into prior to the date hereof, in each case in a manner that would reasonably be expected to be material and adverse to the combined business;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increase the compensation of, or pay any bonus, retention, transaction or similar payment to, any officer, special advisor, consultant or other service provider, or adopt or enter into any Employee Benefit Plan, equity incentive plan or deferred compensation arrangement, or hire any employee;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make any payment, distribution or loan to, forgive any obligation of, or enter into, amend or modify any Contract or arrangement with, any Related Party or any Parent Related Party, other than (A) reimbursement of ordinary-course, documented out-of-pocket expenses consistent with past practice and (B) performance in the ordinary course of the existing Contracts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in accordance with their terms as in effect on the Effective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settle any Action, or waive, release or assign any material right or claim;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or method of Tax accounting, (C) file any amended Tax Return, (D) enter into any closing agreement, (E) settle any Tax claim or assessment, (F) surrender any right to claim a Tax refund, or (G) consent to any extension or waiver of the limitations period applicable to any Tax claim or assessment;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sell, license, transfer, encumber, abandon or permit to lapse or expire any material Company Intellectual Property;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fail to maintain its books and records in the usual, regular and ordinary manner on a basis consistent with prior periods, or change any method of accounting;</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merge into or with or consolidate with, or acquire the business, securities or material assets of, any Person, or propose or adopt a plan of complete or partial liquidation, dissolution, restructuring, recapitalization or other reorganization;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agree or commit to do any of the foregoing.</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28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(i) give Parent, First Merger Sub or Second Merger Sub, directly or indirectly, the right to control or direct the operations of the Company prior to the Effective Time, or (ii) require any Party to take or refrain from taking any action that would result in a violation of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During the Interim Period, the Company shall, and shall cause its officers, advisors and other Representatives to, afford Parent and its Representatives reasonable access, during normal business hours and upon reasonable advance notice, to the facilities, properties, personnel, advisors, books, records, contracts and other documents and information of or relating to the Company, its Subsidiaries and the Company’s development projects, as may from time to time be reasonably requested by Parent, in each case subject to (a) any existing confidentiality or non-disclosure obligations of the Company to third parties, and (b) attorney-client privilege and work-product protections (provided that the Company shall use commercially reasonable efforts to make disclosure in a manner that does not waive such privilege or protection, including through common-interest arrangements).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the Company and the Company Stockholders shall not, and shall not permit any of their respective Representatives to, directly or indirectly: (i) solicit, initiate, seek, facilitate (including by means of furnishing or disclosing non-public information), encourage, promote, approve or support any Acquisition Proposal; (ii) furnish any non-public information regarding the Company to any Person in connection with any Acquisition Proposal; (iii) participate in any discussions or negotiations regarding, or enter into any agreement or other instrument (whether or not binding) regarding, any Acquisition Proposal; or (iv) approve, endorse or recommend any Acquisition Proposal. The Company and the Company Stockholders shall immediately cease, and cause their Representatives to cease, all existing discussions or negotiations with any Person conducted heretofore with respect to, or that could lead to, an Acquisition Proposal; provided, however, that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shall not apply to any Acquisition Proposal or other action prohibited or restricted by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that (x) began or occurred prior to the Effective Time or (y) that occurred or occurs prior to or after the Effective Time with the Knowledge of Parent (x and y being collectively referred to as “</w:t>
      </w:r>
      <w:r>
        <w:rPr>
          <w:rFonts w:ascii="Times New Roman;Times;Serif" w:hAnsi="Times New Roman;Times;Serif"/>
          <w:b/>
          <w:i/>
          <w:caps w:val="false"/>
          <w:smallCaps w:val="false"/>
          <w:sz w:val="20"/>
        </w:rPr>
        <w:t>Excluded Activities</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Interim Period, the Company and the Company Stockholders shall, other than with respect to any Excluded Activities, promptly (and in any event within two (2) Business Days) notify Parent if the Company, any Company Stockholder or any of their respective Representatives receives any communication, offer or proposal regarding or relating to a potential Acquisition Proposal, which notice shall include the identity of the Person making such communication, offer or proposal and its specific terms (including a copy of any written materials received).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it being acknowledged that any breach or threatened breach would cause irreparable injury to Parent and that money damages would not provide an adequate remedy.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 Solicitation by Parent</w:t>
      </w:r>
      <w:r>
        <w:rPr>
          <w:rFonts w:ascii="Times New Roman;Times;Serif" w:hAnsi="Times New Roman;Times;Serif"/>
          <w:b w:val="false"/>
          <w:i w:val="false"/>
          <w:caps w:val="false"/>
          <w:smallCaps w:val="false"/>
          <w:sz w:val="20"/>
        </w:rPr>
        <w:t xml:space="preserve">. During the Interim Period, Parent shall not, and shall cause its Subsidiaries and its and their respective Representatives not to, directly or indirectly, solicit, initiate, facilitate, or knowingly encourage any inquiry, proposal, or offer with respect to any acquisition of the Company or any material portion of the Company’s development projects from any Person (other than the Company and its Representatives).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does not restrict, and shall not be construed to restrict, Parent from pursuing, negotiating or consummating any acquisition, investment, business combination, joint venture, financing or other strategic transaction that does not, directly or indirectly, involve the acquisition of the Company, the Company’s development projects, or any material portion thereof, including any transaction in the REE/CM, energy, data center or water verticals generally.</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Efforts to Consummate; Regulatory Matters</w:t>
      </w:r>
      <w:r>
        <w:rPr>
          <w:rFonts w:ascii="Times New Roman;Times;Serif" w:hAnsi="Times New Roman;Times;Serif"/>
          <w:b w:val="false"/>
          <w:i w:val="false"/>
          <w:caps w:val="false"/>
          <w:smallCaps w:val="false"/>
          <w:sz w:val="20"/>
        </w:rPr>
        <w:t xml:space="preserve">. Subject to the terms and conditions of this Agreement, each Party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required in connection therewith, (b) taking all reasonable actions necessary to satisfy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to be delivered at or prior to the Closing. The Parties shall cooperate in good faith to identify, prepare, and file all notices, applications, and other filings required to be made with any Governmental Authority in connection with the Mergers. The Parties acknowledge that, as of the Effective Date, no filing under the Hart-Scott-Rodino Antitrust Improvements Act of 1976 is anticipated to be required in connection with the Mergers; if such a filing is determined to be required, the Parties shall cooperate to make such filing promptly, with the filing fees borne by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During the Interim Period, each Party shall promptly notify the other Parties in writing of (a) any notice or other communication from any Governmental Authority alleging or relating to any actual or potential violation of Law in connection with the transactions contemplated hereby; (b) any Action commenced or, to such Party’s Knowledge, threatened relating to or affecting the transactions contemplated hereby; (c) any fact, event or circumstance that would reasonably be expected to cause any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not to be satisfied; and (d) the occurrence of any event or development that has had or would reasonably be expected to have a Material Adverse Effect with respect to the Company (in the case of notice by the Company) or with respect to Parent (in the case of notice by Parent). No notice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cure any breach, affect any representation, warranty, covenant or condition, or limit any right or remedy.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Confidentiality; Public Announcements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Party shall hold all non-public information received from any other Party in connection with this Agreement in strict confidence, subject to customary exceptions for (i) disclosure to Representatives on a need-to-know basis who are bound by confidentiality obligations, (ii) disclosure required by applicable Law or stock exchange rule (after, to the extent legally permissible, reasonable advance notice to the disclosing Party and a reasonable opportunity to seek confidential treatment), and (iii) information that is or becomes publicly available other than through a breach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Stockholder nor any of their respective Representatives shall issue any press release or make any public statement or communication regarding the existence or terms of this Agreement or the transactions contemplated hereby without the prior written consent of Parent. Parent shall not issue any press release or make any public announcement regarding the existence or terms of this Agreement without the prior written consent of the Company (not to be unreasonably withheld, conditioned or delayed), except that Parent may, without such consent, make any disclosure that Parent determines, upon advice of counsel, is required by applicable Law or the rules of The Nasdaq Stock Market LLC, including the filing of this Agreement and the disclosure of its material terms on a Current Report on Form 8-K following the Effective Date, any disclosure required in Parent’s periodic reports and proxy statements (including disclosure required by Item 404 of Regulation S-K), and any listing-of-additional-shares or related submission to Nasdaq. After the Effective Time, Parent shall not be restricted from issuing any statement or communication, except that Parent shall use commercially reasonable efforts to consult with the Stockholder Representative in advance regarding the content of any public announcement that specifically names any Company Stockholder (other than as required by applicable Law or stock exchange rule).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30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Tax Returns.</w:t>
      </w:r>
      <w:r>
        <w:rPr>
          <w:rFonts w:ascii="Times New Roman;Times;Serif" w:hAnsi="Times New Roman;Times;Serif"/>
          <w:b w:val="false"/>
          <w:i w:val="false"/>
          <w:caps w:val="false"/>
          <w:smallCaps w:val="false"/>
          <w:sz w:val="20"/>
        </w:rPr>
        <w:t xml:space="preserve"> Parent shall prepare and file or cause to be prepared and filed all Tax Returns of the Company and its Subsidiaries that are required to be filed after the Closing Date. Any such Tax Return that relates to a Pre-Closing Tax Period or a Straddle Period and that could give rise to an indemnification obligation of the Company Stockholders pursuant to this Agreement shall be prepared in accordance with the prior positions and practices of the Company, unless otherwise required by applicable Law, and shall be provided to the Stockholder Representative for review and comment no later than thirty (30) days before the due date thereof (giving effect to applicable extensions), and Parent shall consider in good faith all reasonable comments of the Stockholder 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failure to timely provide any such Tax Return shall relieve the Company Stockholders of any liability or indemnification obligation except to the extent they are actually and materially prejudiced thereby.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Straddle Periods.</w:t>
      </w:r>
      <w:r>
        <w:rPr>
          <w:rFonts w:ascii="Times New Roman;Times;Serif" w:hAnsi="Times New Roman;Times;Serif"/>
          <w:b w:val="false"/>
          <w:i w:val="false"/>
          <w:caps w:val="false"/>
          <w:smallCaps w:val="false"/>
          <w:sz w:val="20"/>
        </w:rPr>
        <w:t xml:space="preserve"> In the case of Taxes based on income, receipts or payroll that are payable with respect to a Straddle Period, the portion of such Taxes allocable to the Pre-Closing Tax Period shall be determined on the basis of a deemed closing of the books at the end of the Closing Date; and in the case of all other Taxes payable with respect to a Straddle Period, the portion allocable to the Pre-Closing Tax Period shall be the amount of such Taxes for the entire Straddle Period multiplied by a fraction, the numerator of which is the number of days in the Straddle Period through and including the Closing Date and the denominator of which is the total number of days in the Straddle Period, with appropriate adjustments for specific identifiable events.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Contests.</w:t>
      </w:r>
      <w:r>
        <w:rPr>
          <w:rFonts w:ascii="Times New Roman;Times;Serif" w:hAnsi="Times New Roman;Times;Serif"/>
          <w:b w:val="false"/>
          <w:i w:val="false"/>
          <w:caps w:val="false"/>
          <w:smallCaps w:val="false"/>
          <w:sz w:val="20"/>
        </w:rPr>
        <w:t xml:space="preserve"> Parent shall control the defense of any audit, examination or other Action with respect to Taxes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Action relating to a Pre-Closing Tax Period that could give rise to an indemnification obligation of the Company Stockholders, (i) Parent shall keep the Stockholder Representative reasonably informed, (ii) the Stockholder Representative shall be entitled, at the Company Stockholders’ expense, to participate in (but not control) such Action, and (iii) Parent shall not settle or compromise such Action without the prior written consent of the Stockholder Representative (not to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The Stockholder Representative, Parent, the Surviving Corporation and the Surviving Company shall cooperate fully, as and to the extent reasonably requested, in connection with the filing of Tax Returns and any audit, litigation or other Action with respect to Taxes, including the retention and provision of records and information and making personnel available on a mutually convenient basis. The Parties shall retain all books and records with respect to Tax matters pertinent to the Company relating to any Pre-Closing Tax Period until the expiration of the applicable statute of limitations.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xml:space="preserve"> All transfer, documentary, sales, use, stamp, registration and other similar Taxes and fees (including any penalties and interest) incurred in connection with the transactions contemplated hereby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Company Stockholders. Parent shall file all necessary Tax Returns with respect to Transfer Taxes, and the Parties shall cooperate to minimize the amount of any Transfer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Reorganization Matters; Tax Opinions.</w:t>
      </w:r>
      <w:r>
        <w:rPr>
          <w:rFonts w:ascii="Times New Roman;Times;Serif" w:hAnsi="Times New Roman;Times;Serif"/>
          <w:b w:val="false"/>
          <w:i w:val="false"/>
          <w:caps w:val="false"/>
          <w:smallCaps w:val="false"/>
          <w:sz w:val="20"/>
        </w:rPr>
        <w:t xml:space="preserve"> Each Party shall (i) use its commercially reasonable efforts to cause the Mergers, taken together, to qualify as the 368 Transaction, (ii) not take any action, or fail to take any action, that would reasonably be expected to prevent or impede such qualification, and (iii) cooperate in good faith in obtaining any Tax Opinion required as a condition to the Closing, including by executing and delivering customary representation letters to the applicable counsel.</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Employment Agreements; Continuing Service Arrangements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(or a Subsidiary of Parent) shall enter into employment agreements with each of Paul Singarella and John Dewey, in a form to be mutually agreed by each such individual, Parent, and the Company prior to the Closing (the “</w:t>
      </w:r>
      <w:r>
        <w:rPr>
          <w:rFonts w:ascii="Times New Roman;Times;Serif" w:hAnsi="Times New Roman;Times;Serif"/>
          <w:b/>
          <w:i/>
          <w:caps w:val="false"/>
          <w:smallCaps w:val="false"/>
          <w:sz w:val="20"/>
        </w:rPr>
        <w:t>Employment Agreements</w:t>
      </w:r>
      <w:r>
        <w:rPr>
          <w:rFonts w:ascii="Times New Roman;Times;Serif" w:hAnsi="Times New Roman;Times;Serif"/>
          <w:b w:val="false"/>
          <w:i w:val="false"/>
          <w:caps w:val="false"/>
          <w:smallCaps w:val="false"/>
          <w:sz w:val="20"/>
        </w:rPr>
        <w:t>”), providing for each of Mr. Singarella’s and Mr. Dewey’s respective engagements as an employee on a W-2 basis, effective as of the Closing. The Employment Agreements shall provide for services commensurate with each individual’s background and the strategic objectives of the combined enterprise (in respect of the Surviving Company and, as the Surviving Company and Parent may from time to time agree, other matters of Parent), in each case on commercially reasonable terms, including market compensation approved by the compensation committee of the Parent Board and customary protective covenants (including confidentiality, invention-assignment, and non-solicitation covenants, and, to the extent enforceable under applicable Law, non-competition covenants) of reasonable scope, duration, and geography. The Employment Agreements shall have initial terms of not less than twenty-four (24) months following the Closing, renewable upon mutual agreement of the parties thereto.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any individual who is a party to an Employment Agreement, and any other Company Stockholder who subsequently becomes an employee, executive officer, or director of Parent or any Subsidiary of Parent (in each case pursuant to a separate determination of the Parent Board or its compensation committee), shall be eligible to participate in Parent’s equity incentive plans on terms consistent with such role, in addition to and not in lieu of any rights such individual may have under this Agreement in respect of the Aggregate Stock Consideration.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neither this Agreement nor any Ancillary Agreement constitutes a commitment, undertaking, or pre-arrangement by Parent or any Subsidiary of Parent to appoint any Company Stockholder to the Parent Board or to any officer position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Investor Rights Agreement; Registration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Closing, Parent and the Company Stockholders shall enter into the Investor Rights Agreement, in substantially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providing for (i) customary piggyback registration rights with respect to all shares of Parent Class A Common Stock issued to the Company Stockholders hereunder, and (ii) a customary lock-up restricting the resale of such shares for the period set forth in the Investor Rights Agreement (anticipated to be six (6) months following the Closing, subject to customary exceptions).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Investor Rights Agreement, Parent shall use commercially reasonable efforts to maintain in effect, for not less than two (2) years following the Closing Date, an effective shelf registration statement on Form S-3 (or, if Parent is not then eligible to use Form S-3, on Form S-1) covering the resale of all shares of Parent Class A Common Stock issued to the Company Stockholders hereunder, subject to customary exceptions and blackout periods and to the availability of any financial statements of the Company required under Regulation S-X.</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Nasdaq Matters</w:t>
      </w:r>
      <w:r>
        <w:rPr>
          <w:rFonts w:ascii="Times New Roman;Times;Serif" w:hAnsi="Times New Roman;Times;Serif"/>
          <w:b w:val="false"/>
          <w:i w:val="false"/>
          <w:caps w:val="false"/>
          <w:smallCaps w:val="false"/>
          <w:sz w:val="20"/>
        </w:rPr>
        <w:t>. Parent shall use commercially reasonable efforts to cause the shares of Parent Class A Common Stock to be issued as Aggregate Stock Consideration to be approved for listing on The Nasdaq Stock Market, subject to official notice of issuance, prior to or as of the Closing Date, including by timely submitting a listing-of-additional-shares notification.</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Financial Statements; Audit Cooperation</w:t>
      </w:r>
      <w:r>
        <w:rPr>
          <w:rFonts w:ascii="Times New Roman;Times;Serif" w:hAnsi="Times New Roman;Times;Serif"/>
          <w:b w:val="false"/>
          <w:i w:val="false"/>
          <w:caps w:val="false"/>
          <w:smallCaps w:val="false"/>
          <w:sz w:val="20"/>
        </w:rPr>
        <w:t>. From and after the Effective Date, the Company and, following the Closing, the Stockholder Representative shall, and shall cause the Company’s officers, advisors,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Exchange Act (including the proxy statement to be filed with the SEC by Parent in connection with obtaining the Parent Stockholder Approval, any Current Report on Form 8-K and any financial statements required by Rule 3-05 of Regulation S-X and any pro forma financial information required by Article 11 of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and (c) using commercially reasonable efforts to obtain any consents of the Company’s historical accountants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and the Stockholder Representative shall deliver to Parent, not later than ten (10) Business Days after the execution of this Agreement, a draft of the Disclosure Schedules, shall consider in good faith the comments of Parent and its Representatives thereto, and shall deliver the final Disclosure Schedules to Parent no later than August 31, 2026. From time to time following the delivery of the final Disclosure Schedules and prior to the Closing, the Company may supplement or update the Disclosure Schedules to reflect events, changes or circumstances arising after the date of delivery; provided, however, that no such supplement or update shall be deemed to (a) modify or cure any representation or warranty that was inaccurate or breached as of the Effective Date or the date of delivery of the final Disclosure Schedules, (b) prevent or limit Parent’s ability to assert that any condition to Closing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has not been satisfied to the extent such supplement or update relates to a matter that would reasonably be expected to constitute a breach of a representation or warranty, or (c) limit or otherwise affect the rights of the Parent Indemnified Parties to seek indemnification pursuant to Article VII with respect to any such matter. Any matter disclosed in any such supplement or update that would reasonably be expected to result in a breach of any representation or warranty shall be taken into account in determining whether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r>
        <w:rPr>
          <w:rFonts w:ascii="Times New Roman;Times;Serif" w:hAnsi="Times New Roman;Times;Serif"/>
          <w:b w:val="false"/>
          <w:i/>
          <w:caps w:val="false"/>
          <w:smallCaps w:val="false"/>
          <w:sz w:val="20"/>
        </w:rPr>
        <w:t xml:space="preserv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Company Stockholder to execute and deliver to Parent a letter of transmittal, in form and substance reasonably acceptable to Parent and the Stockholder Representative (each, a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xml:space="preserve">”). As a condition to such Company Stockholder’s receipt of any portion of the Merger Consideration, each Letter of Transmittal shall provide, among other things, that such holder (a) agrees to be bound by all provisions of this Agreement applicable to the Company Stockholders, including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the appointment of the Stockholder Representative under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(b) expressly and directly agrees to indemnify the Parent Indemnified Parties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as if such holder were a party to this Agreement, (c) acknowledges that the Parent Indemnified Parties may enforce such obligations directly against such holder, (d) makes the title, authority, accredited-investor and investment-intent representations described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and (e) includes the release described in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The Company shall obtain executed Letters of Transmittal from one hundred percent (100%) of the Company Stockholders prior to the Closing and shall not waive, amend or modify any provision of any Letter of Transmittal in any manner adverse to Parent without the prior written consent of Parent.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Effective as of the Effective Time, each Company Stockholder, on behalf of such Company Stockholder and such Company Stockholder’s executors, administrators, estate, successors, heirs and assigns, voluntarily, knowingly and irrevocably releases and forever discharges the Company, its Subsidiaries, Parent, First Merger Sub, Second Merger Sub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of the foregoing arising out of or relating to such Company Stockholder’s capacity as a stockholder (or former member) of the Company, except in each case for (a) any right, claim or entitlement of such Company Stockholder under this Agreement or any Ancillary Agreement (including the right to receive the Merger Consideration, the rights under the Investor Rights Agreement and the Employment Agreements, and the rights under </w:t>
      </w:r>
      <w:r>
        <w:rPr>
          <w:rFonts w:ascii="Times New Roman;Times;Serif" w:hAnsi="Times New Roman;Times;Serif"/>
          <w:b w:val="false"/>
          <w:i w:val="false"/>
          <w:caps w:val="false"/>
          <w:smallCaps w:val="false"/>
          <w:sz w:val="20"/>
          <w:u w:val="single"/>
        </w:rPr>
        <w:t>Sections 5.17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w:t>
      </w:r>
      <w:r>
        <w:rPr>
          <w:rFonts w:ascii="Times New Roman;Times;Serif" w:hAnsi="Times New Roman;Times;Serif"/>
          <w:b w:val="false"/>
          <w:i w:val="false"/>
          <w:caps w:val="false"/>
          <w:smallCaps w:val="false"/>
          <w:sz w:val="20"/>
        </w:rPr>
        <w:t xml:space="preserve">), (b) accrued and unpaid ordinary-course compensation or documented expense reimbursement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and (c) any claim arising from fraud or willful misconduct. Each Company Stockholder acknowledges the risk of Unknown Claims (as defined below) and expressly waives, to the fullest extent permitted by Law, the provisions, rights, and benefits conferred by California Civil Code Section 1542 (and any Law of similar effect),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Times;Serif" w:hAnsi="Times New Roman;Times;Serif"/>
          <w:b/>
          <w:i/>
          <w:caps w:val="false"/>
          <w:smallCaps w:val="false"/>
          <w:sz w:val="20"/>
        </w:rPr>
        <w:t>Unknown Claims</w:t>
      </w:r>
      <w:r>
        <w:rPr>
          <w:rFonts w:ascii="Times New Roman;Times;Serif" w:hAnsi="Times New Roman;Times;Serif"/>
          <w:b w:val="false"/>
          <w:i w:val="false"/>
          <w:caps w:val="false"/>
          <w:smallCaps w:val="false"/>
          <w:sz w:val="20"/>
        </w:rPr>
        <w:t xml:space="preserve">” means claims discovered, incurred or suffered after the execution of this Agreement or the Closing based solely on facts that existed, or acts or omissions that occurred, prior to the Closing Date. Nothing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limits the indemnification provided to the Stockholder Indemnified Parties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or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Related-Party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Approvals; Process.</w:t>
      </w:r>
      <w:r>
        <w:rPr>
          <w:rFonts w:ascii="Times New Roman;Times;Serif" w:hAnsi="Times New Roman;Times;Serif"/>
          <w:b w:val="false"/>
          <w:i w:val="false"/>
          <w:caps w:val="false"/>
          <w:smallCaps w:val="false"/>
          <w:sz w:val="20"/>
        </w:rPr>
        <w:t xml:space="preserve"> Parent shall maintain, and shall furnish to the Company upon reasonable request, evidence of (i) the review and approval of this Agreement and the transactions contemplated hereby by the Parent Audit Committee in accordance with Parent’s related-party transaction policies and Nasdaq Rule 5630, and (ii) the approval of this Agreement and the transactions contemplated hereby by the Parent Board acting by the affirmative vote of a majority of the disinterested directors, in each case after disclosure of the material facts as to the relationships and interests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and with any interested director abstaining, it being the intent of the Parties that such approvals satisfy Section 144(a)(1) of the DGCL. The minutes and records of such deliberations shall be prepared and maintained in a manner that documents the basis for the Parent Board’s determinations, including the fairness of the consideration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Disclosure Cooperation.</w:t>
      </w:r>
      <w:r>
        <w:rPr>
          <w:rFonts w:ascii="Times New Roman;Times;Serif" w:hAnsi="Times New Roman;Times;Serif"/>
          <w:b w:val="false"/>
          <w:i w:val="false"/>
          <w:caps w:val="false"/>
          <w:smallCaps w:val="false"/>
          <w:sz w:val="20"/>
        </w:rPr>
        <w:t xml:space="preserve"> The Company and each Company Stockholder shall promptly furnish to Parent all information concerning the business and financial condition of the Company, the relationships and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other information concerning the Company and the Company Stockholders and their Affiliates, in each case as Parent reasonably determines is required in connection with (i) Parent’s disclosure obligations under Item 404 of Regulation S-K, Form 8-K, and Parent’s periodic reports and proxy statements, including, the proxy statement to be filed with the SEC by Parent in connection with obtaining the Parent Stockholder Approval, and (ii) any review by, or submission to, The Nasdaq Stock Market LLC.</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Treatment of Existing Arrangements.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sets forth each Contract or arrangement between the Company or any of its Affiliates, on the one hand, and Parent or any of its Affiliates, on the other hand, that is to be terminated, amended, or ratified effective at or prior to the Closing, as designated by Parent after review by the Parent Audit Committee (it being acknowledged that, from and after the Closing, any continuing arrangement between Parent and the Surviving Company will be an intercompany arrangement). Without limiting the foregoing, the Parties shall cooperate to terminate or amend, effective as of the Closing, any provision of any such Contract providing for fees payable by Parent or its Subsidiaries to the Company or any Company Stockholder that would be duplicative of, or inconsistent with, the post-Closing arrangements contemplated by this Agreement (including the Budget and the Employment Agreements).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xml:space="preserve"> Prior to the Closing, the Parent Board (or an appropriate committee thereof composed solely of “non-employee directors” within the meaning of Rule 16b-3 under the Exchange Act) shall take such actions as are reasonably necessary to approve, for purposes of Rule 16b-3, the acquisition of shares of Parent Class A Common Stock hereunder by any Company Stockholder who is or will become subject to Section 16 of the Exchange Act as a result of the transactions contemplated hereby (including service as an officer of Parent from and after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Directors’ and Officers’ Matters; Covered Executives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D&amp;O Tail.</w:t>
      </w:r>
      <w:r>
        <w:rPr>
          <w:rFonts w:ascii="Times New Roman;Times;Serif" w:hAnsi="Times New Roman;Times;Serif"/>
          <w:b w:val="false"/>
          <w:i w:val="false"/>
          <w:caps w:val="false"/>
          <w:smallCaps w:val="false"/>
          <w:sz w:val="20"/>
        </w:rPr>
        <w:t xml:space="preserve"> From and after the Closing, Parent shall cause the Surviving Company to (i) maintain in effect (or assume the obligations in respect of) the indemnification, exculpation, and advancement-of-expenses provisions in favor of the current and former directors, officers, and managers of the Company (and its predecessor limited liability company) that are set forth in the Company’s Organizational Documents as of the Effective Date, for a period of not less than six (6) years following the Closing Date in respect of acts or omissions occurring on or prior to the Closing, and (ii) maintain in effect for not less than six (6) years following the Closing Date a directors’ and officers’ liability insurance “tail” policy on customary terms covering acts and omissions occurring on or prior to the Closing Date, with coverage limits and terms reasonably acceptable to the Stockholder Representative, the cost of such policy to be borne by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Covered Executive Insurance.</w:t>
      </w:r>
      <w:r>
        <w:rPr>
          <w:rFonts w:ascii="Times New Roman;Times;Serif" w:hAnsi="Times New Roman;Times;Serif"/>
          <w:b w:val="false"/>
          <w:i w:val="false"/>
          <w:caps w:val="false"/>
          <w:smallCaps w:val="false"/>
          <w:sz w:val="20"/>
        </w:rPr>
        <w:t xml:space="preserve"> From and after the Closing, for so long as each Covered Executive serves as an officer or employee of Parent or any Subsidiary of Parent, Parent shall maintain directors’ and officers’ liability insurance providing coverage for the benefit of such Covered Executive on terms no less favorable than those applicable to similarly situated executive officers of Parent, including coverage as an “Insured Person” for securities claims, derivative actions, and regulatory investigations, and shall use commercially reasonable efforts to maintain adequate “Side A” coverage for the benefit of such Covered Executive on the same basis as for other executive officers. Parent shall not materially reduce such coverage as it applies to any Covered Executive on a basis that discriminates against such Covered Executive relative to similarly situated executive officers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Covered Executive Indemnification.</w:t>
      </w:r>
      <w:r>
        <w:rPr>
          <w:rFonts w:ascii="Times New Roman;Times;Serif" w:hAnsi="Times New Roman;Times;Serif"/>
          <w:b w:val="false"/>
          <w:i w:val="false"/>
          <w:caps w:val="false"/>
          <w:smallCaps w:val="false"/>
          <w:sz w:val="20"/>
        </w:rPr>
        <w:t xml:space="preserve"> From and after the Closing, Parent shall indemnify and hold harmless each Covered Executive to the fullest extent permitted by applicable Law and on the same basis as Parent’s other executive officers against losses, claims, damages, liabilities, costs, and expenses (including reasonable attorneys’ fees) arising out of or relating to the fact that such Covered Executive is or was a director, officer, employee, or agent of Parent or any of its Subsidiaries from and after the Closing, and shall advance expenses on the same basis as for Parent’s other executive officers, subject to receipt of a customary undertaking.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Indemnification Agreements.</w:t>
      </w:r>
      <w:r>
        <w:rPr>
          <w:rFonts w:ascii="Times New Roman;Times;Serif" w:hAnsi="Times New Roman;Times;Serif"/>
          <w:b w:val="false"/>
          <w:i w:val="false"/>
          <w:caps w:val="false"/>
          <w:smallCaps w:val="false"/>
          <w:sz w:val="20"/>
        </w:rPr>
        <w:t xml:space="preserve"> At or prior to the Closing, Parent shall enter into a separate indemnification agreement with each Covered Executive in substantially the form entered into with Parent’s other senior executive officers.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Pre-Closing Activities. </w:t>
      </w:r>
      <w:r>
        <w:rPr>
          <w:rFonts w:ascii="Times New Roman;Times;Serif" w:hAnsi="Times New Roman;Times;Serif"/>
          <w:b w:val="false"/>
          <w:i w:val="false"/>
          <w:caps w:val="false"/>
          <w:smallCaps w:val="false"/>
          <w:sz w:val="20"/>
        </w:rPr>
        <w:t xml:space="preserve">From and after the execution of this Agreement and prior to the Closing, to the extent that any Covered Executive undertakes activities at the written request of Parent in anticipation of serving as an officer or employee of Parent or any of its Subsidiaries following the Closing, Parent shall (i) include such Covered Executive, where practicable, as an Insured Person under its directors’ and officers’ liability insurance policy in respect of such requested activities, and (ii) indemnify and hold such Covered Executive harmless in respect of such requested activities to the same extent as is provided for post-Closing under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Insurance Certificates.</w:t>
      </w:r>
      <w:r>
        <w:rPr>
          <w:rFonts w:ascii="Times New Roman;Times;Serif" w:hAnsi="Times New Roman;Times;Serif"/>
          <w:b w:val="false"/>
          <w:i w:val="false"/>
          <w:caps w:val="false"/>
          <w:smallCaps w:val="false"/>
          <w:sz w:val="20"/>
        </w:rPr>
        <w:t xml:space="preserve"> No fewer than three (3) Business Days prior to the Closing, Parent shall furnish the Company with copies of the declaration pages and certificates of insurance evidencing the coverage described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Capital-Access Facilities; Reporting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shall use commercially reasonable efforts to arrange the capital-access facilities required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to finance the growth and scale-up of the business, which, in Parent’s sole discretion, may include an equity line of credit, takedowns under a shelf registration statement, a private investment in public equity, a resale registration statement, project finance, credit facilities, and equipment and supply-chain financing.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deliver to the Company Stockholders (or to the Stockholder Representative on their behalf), within forty-five (45) days after the end of each calendar quarter during 2027 and 2028, a report on the status of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the capital-access facilities described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constitutes a representation, warranty, or guarantee by Parent that any particular capital-access facility will be available or will be arranged on any particular terms. The sole and exclusive remedy of the Company and the Company Stockholders in respect of the availability of capital from, or arranged by, Parent is the Capital Off-Ramp set forth in </w:t>
      </w:r>
      <w:r>
        <w:rPr>
          <w:rFonts w:ascii="Times New Roman;Times;Serif" w:hAnsi="Times New Roman;Times;Serif"/>
          <w:b w:val="false"/>
          <w:i w:val="false"/>
          <w:caps w:val="false"/>
          <w:smallCaps w:val="false"/>
          <w:sz w:val="20"/>
          <w:u w:val="single"/>
        </w:rPr>
        <w:t>Section 6.3(g)</w:t>
      </w:r>
      <w:r>
        <w:rPr>
          <w:rFonts w:ascii="Times New Roman;Times;Serif" w:hAnsi="Times New Roman;Times;Serif"/>
          <w:b w:val="false"/>
          <w:i w:val="false"/>
          <w:caps w:val="false"/>
          <w:smallCaps w:val="false"/>
          <w:sz w:val="20"/>
        </w:rPr>
        <w:t xml:space="preserve">, and no failure of any facility described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to become available shall, standing alone, give rise to any claim for damages against Parent, First Merger Sub or Second Merger Sub.</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Parent Name Change</w:t>
      </w:r>
      <w:r>
        <w:rPr>
          <w:rFonts w:ascii="Times New Roman;Times;Serif" w:hAnsi="Times New Roman;Times;Serif"/>
          <w:b w:val="false"/>
          <w:i w:val="false"/>
          <w:caps w:val="false"/>
          <w:smallCaps w:val="false"/>
          <w:sz w:val="20"/>
        </w:rPr>
        <w:t>. The Parties acknowledge that Parent intends, at or following the Closing, to change its corporate name and its trading symbol in connection with the repositioning of the combined enterprise (the “</w:t>
      </w:r>
      <w:r>
        <w:rPr>
          <w:rFonts w:ascii="Times New Roman;Times;Serif" w:hAnsi="Times New Roman;Times;Serif"/>
          <w:b/>
          <w:i/>
          <w:caps w:val="false"/>
          <w:smallCaps w:val="false"/>
          <w:sz w:val="20"/>
        </w:rPr>
        <w:t>Parent Name Change</w:t>
      </w:r>
      <w:r>
        <w:rPr>
          <w:rFonts w:ascii="Times New Roman;Times;Serif" w:hAnsi="Times New Roman;Times;Serif"/>
          <w:b w:val="false"/>
          <w:i w:val="false"/>
          <w:caps w:val="false"/>
          <w:smallCaps w:val="false"/>
          <w:sz w:val="20"/>
        </w:rPr>
        <w:t>”). The Company shall reasonably cooperate with Parent in connection with the Parent Name Change, including by furnishing such information and executing such documents as Parent may reasonably request. Neither the effectiveness nor the timing of the Parent Name Change shall constitute a condition to the obligations of any Party hereunder.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Stockholder Representative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Stockholder Representative is hereby appointed by the Company, and, by delivery of a Letter of Transmittal, each Company Stockholder irrevocably appoints the Stockholder Representative, as the representative, true and lawful agent, proxy and attorney-in-fact of the Company Stockholders for all purposes of this Agreement, with full power and authority on each Company Stockholder’s behalf to (i) consummate the transactions contemplated hereby, (ii) receive and disburse any funds or shares received hereunder on behalf of such Company Stockholder, (iii) execute and deliver all documents contemplated hereby and any amendment or waiver hereto, (iv) take all other actions to be taken by or on behalf of such Company Stockholder in connection herewith, (v) negotiate, settle, compromise and otherwise handle all disputes under this Agreement (including all indemnification claims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(vi) give and receive notices on behalf of the Company Stockholders, and (vii) do each and every act and exercise any and all rights which such Company Stockholder or the Company Stockholders collectively are permitted or required to do or exercise under this Agreement. Each Company Stockholder agrees that such agency and proxy are coupled with an interest, are irrevocable, and shall survive the death, incapacity or bankruptcy of any Company Stockholder.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Stockholder Representative shall be final and binding upon all Company Stockholders, and no Company Stockholder shall have any right to object, dissent, protest or otherwise contest the same, except for fraud, bad faith or willful misconduct. The Stockholder Representative shall not incur any liability to any Company Stockholder relating to the performance of its duties hereunder except for actions or omissions constituting fraud, bad faith or willful misconduct. The Company Stockholders shall severally (in accordance with their Pro Rata Shares) reimburse the Stockholder Representative for all costs and expenses, including professional fees, reasonably incurred by the Stockholder Representative in performing its duties hereunder, and Parent shall have no obligation or liability in respect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the other Parent Indemnified Parties shall be entitled to rely conclusively, without independent verification or investigation, upon any action, decision, consent or instruction of the Stockholder Representative as being the action, decision, consent or instruction of each Company Stockholder.</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Mutual Conditions</w:t>
      </w:r>
      <w:r>
        <w:rPr>
          <w:rFonts w:ascii="Times New Roman;Times;Serif" w:hAnsi="Times New Roman;Times;Serif"/>
          <w:b w:val="false"/>
          <w:i w:val="false"/>
          <w:caps w:val="false"/>
          <w:smallCaps w:val="false"/>
          <w:sz w:val="20"/>
        </w:rPr>
        <w:t>. The respective obligations of the Parties to consummate the Closing are subject to the satisfaction or waiver (where permissible under applicable Law) at or prior to the Closing of each of the following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Stockholder Approval.</w:t>
      </w:r>
      <w:r>
        <w:rPr>
          <w:rFonts w:ascii="Times New Roman;Times;Serif" w:hAnsi="Times New Roman;Times;Serif"/>
          <w:b w:val="false"/>
          <w:i w:val="false"/>
          <w:caps w:val="false"/>
          <w:smallCaps w:val="false"/>
          <w:sz w:val="20"/>
        </w:rPr>
        <w:t xml:space="preserve"> The Company Stockholder Approval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Parent Stockholder Approval .</w:t>
      </w:r>
      <w:r>
        <w:rPr>
          <w:rFonts w:ascii="Times New Roman;Times;Serif" w:hAnsi="Times New Roman;Times;Serif"/>
          <w:b w:val="false"/>
          <w:i w:val="false"/>
          <w:caps w:val="false"/>
          <w:smallCaps w:val="false"/>
          <w:sz w:val="20"/>
        </w:rPr>
        <w:t xml:space="preserve"> The Parent Stockholder Approval shall have been obtained and shall be in full force and effect.(c) </w:t>
      </w:r>
      <w:r>
        <w:rPr>
          <w:rFonts w:ascii="Times New Roman;Times;Serif" w:hAnsi="Times New Roman;Times;Serif"/>
          <w:b w:val="false"/>
          <w:i/>
          <w:caps w:val="false"/>
          <w:smallCaps w:val="false"/>
          <w:sz w:val="20"/>
        </w:rPr>
        <w:t>No Injunction.</w:t>
      </w:r>
      <w:r>
        <w:rPr>
          <w:rFonts w:ascii="Times New Roman;Times;Serif" w:hAnsi="Times New Roman;Times;Serif"/>
          <w:b w:val="false"/>
          <w:i w:val="false"/>
          <w:caps w:val="false"/>
          <w:smallCaps w:val="false"/>
          <w:sz w:val="20"/>
        </w:rPr>
        <w:t xml:space="preserve"> No Order shall be in effect, and no Law shall have been enacted, in either case that prohibits, restrains, or makes illegal the consummation of the Mergers or the other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Regulatory Approvals.</w:t>
      </w:r>
      <w:r>
        <w:rPr>
          <w:rFonts w:ascii="Times New Roman;Times;Serif" w:hAnsi="Times New Roman;Times;Serif"/>
          <w:b w:val="false"/>
          <w:i w:val="false"/>
          <w:caps w:val="false"/>
          <w:smallCaps w:val="false"/>
          <w:sz w:val="20"/>
        </w:rPr>
        <w:t xml:space="preserve"> All approvals, consents, and authorizations of any Governmental Authority required to consummate the transactions contemplated hereby shall have been obtained, except for those the failure of which to obtain would not, individually or in the aggregate, be material to the Parties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Nasdaq Listing.</w:t>
      </w:r>
      <w:r>
        <w:rPr>
          <w:rFonts w:ascii="Times New Roman;Times;Serif" w:hAnsi="Times New Roman;Times;Serif"/>
          <w:b w:val="false"/>
          <w:i w:val="false"/>
          <w:caps w:val="false"/>
          <w:smallCaps w:val="false"/>
          <w:sz w:val="20"/>
        </w:rPr>
        <w:t xml:space="preserve"> The shares of Parent Class A Common Stock to be issued as Aggregate Stock Consideration at the Closing shall have been approved for listing on The Nasdaq Stock Market, subject to official notice of issuance.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Obligations of Parent, First Merger Sub and Second Merger Sub</w:t>
      </w:r>
      <w:r>
        <w:rPr>
          <w:rFonts w:ascii="Times New Roman;Times;Serif" w:hAnsi="Times New Roman;Times;Serif"/>
          <w:b w:val="false"/>
          <w:i w:val="false"/>
          <w:caps w:val="false"/>
          <w:smallCaps w:val="false"/>
          <w:sz w:val="20"/>
        </w:rPr>
        <w:t>. The obligations of Parent, First Merger Sub and Second Merger Sub to consummate the Closing are subject to the satisfaction, or waiver in writing by Parent,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Company Stockholders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in the Letters of Transmittal (other than the Fundamental Representations)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Effective Date and at and as of the Closing, as if made on the Closing Date (other than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The Company and the Company Stockholders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the Company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w:t>
      </w:r>
      <w:r>
        <w:rPr>
          <w:rFonts w:ascii="Times New Roman;Times;Serif" w:hAnsi="Times New Roman;Times;Serif"/>
          <w:b w:val="false"/>
          <w:i w:val="false"/>
          <w:caps w:val="false"/>
          <w:smallCaps w:val="false"/>
          <w:sz w:val="20"/>
        </w:rPr>
        <w:t xml:space="preserve"> Parent shall have received the certificate described in </w:t>
      </w:r>
      <w:r>
        <w:rPr>
          <w:rFonts w:ascii="Times New Roman;Times;Serif" w:hAnsi="Times New Roman;Times;Serif"/>
          <w:b w:val="false"/>
          <w:i w:val="false"/>
          <w:caps w:val="false"/>
          <w:smallCaps w:val="false"/>
          <w:sz w:val="20"/>
          <w:u w:val="single"/>
        </w:rPr>
        <w:t>Section 1.7(h)</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Closing Deliveries.</w:t>
      </w:r>
      <w:r>
        <w:rPr>
          <w:rFonts w:ascii="Times New Roman;Times;Serif" w:hAnsi="Times New Roman;Times;Serif"/>
          <w:b w:val="false"/>
          <w:i w:val="false"/>
          <w:caps w:val="false"/>
          <w:smallCaps w:val="false"/>
          <w:sz w:val="20"/>
        </w:rPr>
        <w:t xml:space="preserve"> Parent shall have received all of the deliveries contemplated by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including duly executed Letters of Transmittal from Company Stockholders holding one hundred percent (100%) of the outstanding Shares and duly executed termination agreements in respect of any Security Rights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 Dissenting Shares.</w:t>
      </w:r>
      <w:r>
        <w:rPr>
          <w:rFonts w:ascii="Times New Roman;Times;Serif" w:hAnsi="Times New Roman;Times;Serif"/>
          <w:b w:val="false"/>
          <w:i w:val="false"/>
          <w:caps w:val="false"/>
          <w:smallCaps w:val="false"/>
          <w:sz w:val="20"/>
        </w:rPr>
        <w:t xml:space="preserve"> No Company Stockholder shall have demanded or remain entitled to demand appraisal of any Shares pursuant to Section 262 of the DGCL.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Due Diligence; Disclosure Schedules.</w:t>
      </w:r>
      <w:r>
        <w:rPr>
          <w:rFonts w:ascii="Times New Roman;Times;Serif" w:hAnsi="Times New Roman;Times;Serif"/>
          <w:b w:val="false"/>
          <w:i w:val="false"/>
          <w:caps w:val="false"/>
          <w:smallCaps w:val="false"/>
          <w:sz w:val="20"/>
        </w:rPr>
        <w:t xml:space="preserve"> Parent shall have completed its business, legal, financial, tax and technical due diligence investigation of the Company and its Subsidiaries, and the results thereof shall not have revealed that any representation or warranty of the Company or the Company Stockholders is untrue or inaccurate in any material respect or otherwise be reasonably unsatisfactory to Parent; and the final Disclosure Schedules delivered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not disclose any matter that, individually or in the aggregate, constitutes or would reasonably be expected to constitute a Material Adverse Effect with respect to the Company or a material Liability of the Company not previously disclosed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Required Consents.</w:t>
      </w:r>
      <w:r>
        <w:rPr>
          <w:rFonts w:ascii="Times New Roman;Times;Serif" w:hAnsi="Times New Roman;Times;Serif"/>
          <w:b w:val="false"/>
          <w:i w:val="false"/>
          <w:caps w:val="false"/>
          <w:smallCaps w:val="false"/>
          <w:sz w:val="20"/>
        </w:rPr>
        <w:t xml:space="preserve"> The consents, approvals, waivers and authorizations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Employment Agreements.</w:t>
      </w:r>
      <w:r>
        <w:rPr>
          <w:rFonts w:ascii="Times New Roman;Times;Serif" w:hAnsi="Times New Roman;Times;Serif"/>
          <w:b w:val="false"/>
          <w:i w:val="false"/>
          <w:caps w:val="false"/>
          <w:smallCaps w:val="false"/>
          <w:sz w:val="20"/>
        </w:rPr>
        <w:t xml:space="preserve"> Each of Paul Singarella and John Dewey shall have executed and delivered his Employment Agreement, and each such agreement shall be in full force and effect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Debt; Liens.</w:t>
      </w:r>
      <w:r>
        <w:rPr>
          <w:rFonts w:ascii="Times New Roman;Times;Serif" w:hAnsi="Times New Roman;Times;Serif"/>
          <w:b w:val="false"/>
          <w:i w:val="false"/>
          <w:caps w:val="false"/>
          <w:smallCaps w:val="false"/>
          <w:sz w:val="20"/>
        </w:rPr>
        <w:t xml:space="preserve"> All indebtedness of the Company or any Subsidiary for borrowed money (including any stockholder or other related-party notes), if any, shall have been repaid or discharged (or shall be repaid at Closing pursuant to payoff letters delivered under </w:t>
      </w:r>
      <w:r>
        <w:rPr>
          <w:rFonts w:ascii="Times New Roman;Times;Serif" w:hAnsi="Times New Roman;Times;Serif"/>
          <w:b w:val="false"/>
          <w:i w:val="false"/>
          <w:caps w:val="false"/>
          <w:smallCaps w:val="false"/>
          <w:sz w:val="20"/>
          <w:u w:val="single"/>
        </w:rPr>
        <w:t>Section 1.7(l)</w:t>
      </w:r>
      <w:r>
        <w:rPr>
          <w:rFonts w:ascii="Times New Roman;Times;Serif" w:hAnsi="Times New Roman;Times;Serif"/>
          <w:b w:val="false"/>
          <w:i w:val="false"/>
          <w:caps w:val="false"/>
          <w:smallCaps w:val="false"/>
          <w:sz w:val="20"/>
        </w:rPr>
        <w:t>), and all Liens (other than Permitted Liens) on the assets of the Company or any Subsidiary shall have been released.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Related-Party Arrangements.</w:t>
      </w:r>
      <w:r>
        <w:rPr>
          <w:rFonts w:ascii="Times New Roman;Times;Serif" w:hAnsi="Times New Roman;Times;Serif"/>
          <w:b w:val="false"/>
          <w:i w:val="false"/>
          <w:caps w:val="false"/>
          <w:smallCaps w:val="false"/>
          <w:sz w:val="20"/>
        </w:rPr>
        <w:t xml:space="preserve"> Each Contract or arrangement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shall have been terminated, amended, or ratified, as designated thereon, effective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Company shall have delivered the Company Financial Statements contemplated by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and such other financial information of the Company as is reasonably required for Parent to timely satisfy its reporting obligations under the Exchange Act and Regulation S-X in connection with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Parent shall have received a Tax Opinion, in form and substance reasonably satisfactory to Parent,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Corporate Conversion.</w:t>
      </w:r>
      <w:r>
        <w:rPr>
          <w:rFonts w:ascii="Times New Roman;Times;Serif" w:hAnsi="Times New Roman;Times;Serif"/>
          <w:b w:val="false"/>
          <w:i w:val="false"/>
          <w:caps w:val="false"/>
          <w:smallCaps w:val="false"/>
          <w:sz w:val="20"/>
        </w:rPr>
        <w:t xml:space="preserve"> The Company shall have delivered the conversion evidence described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obligations of the Company to consummate the Closing are subject to the satisfaction, or waiver in writing by the Company,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Parent, First Merger Sub and Second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except, in the case of representations and warranties other than those set forth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for failures to be true and correct that would not, individually or in the aggregate, reasonably be expected to have a Material Adverse Effect with respect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Parent, First Merger Sub and Second Merger Sub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Parent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 Deliveries.</w:t>
      </w:r>
      <w:r>
        <w:rPr>
          <w:rFonts w:ascii="Times New Roman;Times;Serif" w:hAnsi="Times New Roman;Times;Serif"/>
          <w:b w:val="false"/>
          <w:i w:val="false"/>
          <w:caps w:val="false"/>
          <w:smallCaps w:val="false"/>
          <w:sz w:val="20"/>
        </w:rPr>
        <w:t xml:space="preserve"> The Company shall have received the certificate described in </w:t>
      </w:r>
      <w:r>
        <w:rPr>
          <w:rFonts w:ascii="Times New Roman;Times;Serif" w:hAnsi="Times New Roman;Times;Serif"/>
          <w:b w:val="false"/>
          <w:i w:val="false"/>
          <w:caps w:val="false"/>
          <w:smallCaps w:val="false"/>
          <w:sz w:val="20"/>
          <w:u w:val="single"/>
        </w:rPr>
        <w:t>Section 1.8(b)</w:t>
      </w:r>
      <w:r>
        <w:rPr>
          <w:rFonts w:ascii="Times New Roman;Times;Serif" w:hAnsi="Times New Roman;Times;Serif"/>
          <w:b w:val="false"/>
          <w:i w:val="false"/>
          <w:caps w:val="false"/>
          <w:smallCaps w:val="false"/>
          <w:sz w:val="20"/>
        </w:rPr>
        <w:t xml:space="preserve"> and the other deliveries contemplated by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Issuance; </w:t>
      </w:r>
      <w:r>
        <w:rPr>
          <w:rFonts w:ascii="Times New Roman;Times;Serif" w:hAnsi="Times New Roman;Times;Serif"/>
          <w:b w:val="false"/>
          <w:i w:val="false"/>
          <w:caps w:val="false"/>
          <w:smallCaps w:val="false"/>
          <w:sz w:val="20"/>
        </w:rPr>
        <w:t xml:space="preserve">Parent shall be prepared to issue and deliver the Aggregate Stock Consideration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Parent Solvency.</w:t>
      </w:r>
      <w:r>
        <w:rPr>
          <w:rFonts w:ascii="Times New Roman;Times;Serif" w:hAnsi="Times New Roman;Times;Serif"/>
          <w:b w:val="false"/>
          <w:i w:val="false"/>
          <w:caps w:val="false"/>
          <w:smallCaps w:val="false"/>
          <w:sz w:val="20"/>
        </w:rPr>
        <w:t xml:space="preserve"> As of the Closing Date, (i) Parent shall not have filed or otherwise commenced any voluntary case or proceeding under chapter 7 or chapter 11 of the United States Bankruptcy Code (or any analogous proceeding under the insolvency Laws of any other jurisdiction); (ii) no involuntary petition or similar involuntary insolvency proceeding shall have been filed or commenced against Parent and remained undismissed for thirty (30) days; and (iii) no receiver, liquidator, assignee, custodian, trustee, or sequestrator shall have been appointed for Parent or any material portion of its assets.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39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Parent Milestone; Capital Off-Ramp.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Parent Milestone.</w:t>
      </w:r>
      <w:r>
        <w:rPr>
          <w:rFonts w:ascii="Times New Roman;Times;Serif" w:hAnsi="Times New Roman;Times;Serif"/>
          <w:b w:val="false"/>
          <w:i w:val="false"/>
          <w:caps w:val="false"/>
          <w:smallCaps w:val="false"/>
          <w:sz w:val="20"/>
        </w:rPr>
        <w:t xml:space="preserve"> Parent shall satisfy, as of the Closing, each of the following objective criteria (the “</w:t>
      </w:r>
      <w:r>
        <w:rPr>
          <w:rFonts w:ascii="Times New Roman;Times;Serif" w:hAnsi="Times New Roman;Times;Serif"/>
          <w:b/>
          <w:i/>
          <w:caps w:val="false"/>
          <w:smallCaps w:val="false"/>
          <w:sz w:val="20"/>
        </w:rPr>
        <w:t>Parent Milestone</w:t>
      </w:r>
      <w:r>
        <w:rPr>
          <w:rFonts w:ascii="Times New Roman;Times;Serif" w:hAnsi="Times New Roman;Times;Serif"/>
          <w:b w:val="false"/>
          <w:i w:val="false"/>
          <w:caps w:val="false"/>
          <w:smallCaps w:val="false"/>
          <w:sz w:val="20"/>
        </w:rPr>
        <w:t xml:space="preserve">”): (A) Parent’s Class A Common Stock shall be listed on a national securities exchange; (B) Parent shall have not less than $2,000,000 of unrestricted cash and cash equivalents; (C) the mechanism for, and the Surviving Company’s access to,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have been confirmed; and (D) if the Parent stockholder approval described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is required, there shall be a reasonable likelihood of obtaining it. If these criteria are not materially satisfied, the Company may terminate this Agreement as provided in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without penalty, cost, or liability.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Capital Off-Ramp.</w:t>
      </w:r>
      <w:r>
        <w:rPr>
          <w:rFonts w:ascii="Times New Roman;Times;Serif" w:hAnsi="Times New Roman;Times;Serif"/>
          <w:b w:val="false"/>
          <w:i w:val="false"/>
          <w:caps w:val="false"/>
          <w:smallCaps w:val="false"/>
          <w:sz w:val="20"/>
        </w:rPr>
        <w:t xml:space="preserve"> Parent shall endeavor to provide, or arrange for, the public-markets liquidity and capital-access facilities described in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in an amount sufficient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Capital Availability Condition</w:t>
      </w:r>
      <w:r>
        <w:rPr>
          <w:rFonts w:ascii="Times New Roman;Times;Serif" w:hAnsi="Times New Roman;Times;Serif"/>
          <w:b w:val="false"/>
          <w:i w:val="false"/>
          <w:caps w:val="false"/>
          <w:smallCaps w:val="false"/>
          <w:sz w:val="20"/>
        </w:rPr>
        <w:t>”; and the right of the Company to terminate this Agreement for failure of that condition, the “</w:t>
      </w:r>
      <w:r>
        <w:rPr>
          <w:rFonts w:ascii="Times New Roman;Times;Serif" w:hAnsi="Times New Roman;Times;Serif"/>
          <w:b/>
          <w:i/>
          <w:caps w:val="false"/>
          <w:smallCaps w:val="false"/>
          <w:sz w:val="20"/>
        </w:rPr>
        <w:t>Capital Off-Ramp</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is the sole and exclusive provision of this Agreement addressing the availability of capital from, or arranged by, Parent, and no other provision shall be construed to create a separate or overlapping condition, termination right, or remedy in respect of that subject matter. The following apply to the Capital Off-Ramp: (A) if the Capital Availability Condition is not materially satisfied, the Company may terminate this Agreement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the Capital Off-Ramp is a condition to the obligations of the Company and a termination right of the Company, and confers no condition, termination right, or benefit on Parent, First Merger Sub or Second Merger Sub; (B) any termination pursuant to the Capital Off-Ramp shall be without penalty, cost, or liability of any kind, and without any break-up, termination, expense-reimbursement, reverse-termination, or similar fee, and each Party shall bear its own expenses in accordance with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(C)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does not constitute a representation, warranty, guarantee, or affirmative covenant by Parent, First Merger Sub or Second Merger Sub that any particular liquidity or capital-access facility will be available, and the failure of the Capital Availability Condition shall not, standing alone, give rise to any claim for damages against Parent, First Merger Sub or Second Merger Sub; and (D) Parent shall use commercially reasonable, good-faith efforts to satisfy the Capital Availability Condition; the Capital Off-Ramp may not be exercised by the Company at any time when the Company is in material breach of this Agreement, and the Capital Off-Ramp shall not be available after the Outside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The Company shall have received a Tax Opinion, in form and substance reasonably satisfactory to the Company,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 Party may rely on the failure of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Company Stockholders contained in this Agreement or in any Letter of Transmittal, certificate or other instrument delivered pursuant to this Agreement shall survive the Closing and continue in full force and effect until the date that is eighteen (18) months following the Closing Date (the “General Expiration Date”); provided, however, that (a) the Fundamental Representations shall survive until the date that is six (6) years following the Closing Date; (b) the Tax Representations shall survive until the date that is ninety (90) days after the expiration of the applicable statute of limitations with respect to the underlying subject matter thereof (giving effect to any waiver, mitigation or extension thereof); and (c) in the event of fraud, willful breach or intentional misrepresentation with respect to a representation or warranty, such representation or warranty shall survive indefinitely as to the matters that are the subject of such fraud, willful breach or intentional misrepresentation; and provided, further, that any representation or warranty shall survive beyond its stated survival period with respect to any breach thereof or inaccuracy therein if a claim is made hereunder in writing setting forth the specific claim and the basis therefor prior to the expiration of such survival period, in which case such representation and warranty shall survive as to such claim until such claim has been finally resolved. The representations and warranties of Parent, First Merger Sub and Second Merger Sub contained in this Agreement shall survive the Closing until the General Expiration Date; provided that the representations and warranties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(Authority, Approval and Enforceability) and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(Valid Issuance) (the “Parent Fundamental Representations”) shall survive until the date that is thirty-six (36) months following the Closing Date. All covenants and other agreements contained herein shall survive the Closing indefinitely or for the period explicitly specified therein. The Parties intend that the foregoing survival periods and termination dates supersede any applicable statutes of limitations that would otherwise apply to such representations and warranties.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Company Stockholders</w:t>
      </w:r>
      <w:r>
        <w:rPr>
          <w:rFonts w:ascii="Times New Roman;Times;Serif" w:hAnsi="Times New Roman;Times;Serif"/>
          <w:b w:val="false"/>
          <w:i w:val="false"/>
          <w:caps w:val="false"/>
          <w:smallCaps w:val="false"/>
          <w:sz w:val="20"/>
        </w:rPr>
        <w:t xml:space="preserve">. 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from and after the Closing, the Company Stockholders shall severally (in accordance with their respective Pro Rata Shares)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or in any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Company Stockholder of any representation, warranty, covenant or agreement of such Company Stockholder in this Agreement or such Company Stockholder’s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any Company Stockholder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Transaction Expenses that are unpaid as of the Closing and were not disclosed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Indemnified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Dissenting Shares, to the extent the amounts paid in respect thereof (including costs of defense) exceed the value of the consideration that would otherwise have been issuable in respect of such Shares hereunder;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on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Stockholder Representative, and mutually agreed upon by Parent and the Stockholder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Company suffers, incurs or otherwise becomes subject to any Damages as a result of or in connection with any inaccuracy in or breach of any representation, warranty, covenant or obligation, then (without limiting any of the rights of the Surviving Company as a Parent Indemnified Party) Parent shall also be deemed, by virtue of its ownership of the Surviving Company,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r>
        <w:rPr>
          <w:rFonts w:ascii="Times New Roman;Times;Serif" w:hAnsi="Times New Roman;Times;Serif"/>
          <w:b w:val="false"/>
          <w:i w:val="false"/>
          <w:caps w:val="false"/>
          <w:smallCaps w:val="false"/>
          <w:sz w:val="20"/>
        </w:rPr>
        <w:t>. Subject to the limitations set forth in this Article VII, from and after the Closing, Parent shall indemnify, defend and hold harmless the Stockholder Indemnified Parties from and against any and all Damages incurred by any such Person to the extent arising out of or resulting from (a) any breach of any representation or warranty made by Parent, First Merger Sub or Second Merger Sub in Article IV, (b) any breach of any covenant or agreement of Parent, First Merger Sub, Second Merger Sub, the Surviving Corporation or the Surviving Company contained in this Agreement that is required to be performed after the Closing, or (c) fraud, intentional misrepresentation or willful misconduct by Parent, First Merger Sub or Second Merger Sub. Notwithstanding anything to the contrary in this Agreement, Parent shall have no indemnification obligation to any Company Stockholder or any other Person for (i) the business, operations, assets, liabilities or obligations of the Company, the Surviving Corporation or the Surviving Company, except to the extent arising from a breach by Parent, First Merger Sub or Second Merger Sub of an express covenant or agreement contained in this Agreement, or (ii) any failure of the Mergers to qualify as a reorganization within the meaning of Section 368(a) of the Code, except to the extent such failure is caused by a breach by Parent, First Merger Sub or Second Merger Sub of an express covenant or agreement contained in this Agreement or by an action taken by Parent after the Closing that is inconsistent with or contrary to the qualification of the Mergers as the 368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Threshold. </w:t>
      </w:r>
      <w:r>
        <w:rPr>
          <w:rFonts w:ascii="Times New Roman;Times;Serif" w:hAnsi="Times New Roman;Times;Serif"/>
          <w:b w:val="false"/>
          <w:i w:val="false"/>
          <w:caps w:val="false"/>
          <w:smallCaps w:val="false"/>
          <w:sz w:val="20"/>
        </w:rPr>
        <w:t xml:space="preserve">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“Threshold Amount”), in which case the Parent Indemnified Parties shall be entitled to indemnification for all such Damages from the first dollar, including the Threshold Amount; provided that the foregoing limitation shall not apply to (i) claims for breaches of, or inaccuracies in, any Fundamental Representation or Tax Representation, or (ii) claims based on fraud, willful misconduct or intentional misrepresentation; and provided, further, that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Source and Order of Recovery. </w:t>
      </w:r>
      <w:r>
        <w:rPr>
          <w:rFonts w:ascii="Times New Roman;Times;Serif" w:hAnsi="Times New Roman;Times;Serif"/>
          <w:b w:val="false"/>
          <w:i w:val="false"/>
          <w:caps w:val="false"/>
          <w:smallCaps w:val="false"/>
          <w:sz w:val="20"/>
        </w:rPr>
        <w:t xml:space="preserve">Any amount owing to a Parent Indemnified Party under this Article VII shall be satisfied, subject to the caps in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at the election of the applicable Company Stockholder, (A) by payment of cash, (B) by the surrender for cancellation of shares of Parent Class A Common Stock issued hereunder and still held by such Company Stockholder, valued at the higher of (x) the VWAP as of the Closing Date and (y) the VWAP as of the date such claim is finally resolved, or (C) by set-off against any amounts otherwise owed by any Parent Indemnified Party to such Company Stockholder under this Agreement (other than compensation for services), or any combination of the foregoing. Any amount owing to a Stockholder Indemnified Party under this Article VII shall be payable by Parent in cash or, with the prior written consent of the Stockholder Representative, in shares of Parent Class A Common Stock valued as provided in clause (B) of the immediately preceding sentence, subject in all cases to compliance with the applicable rules of The Nasdaq Stock Market LLC and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 Materiality Scrub. </w:t>
      </w:r>
      <w:r>
        <w:rPr>
          <w:rFonts w:ascii="Times New Roman;Times;Serif" w:hAnsi="Times New Roman;Times;Serif"/>
          <w:b w:val="false"/>
          <w:i w:val="false"/>
          <w:caps w:val="false"/>
          <w:smallCaps w:val="false"/>
          <w:sz w:val="20"/>
        </w:rPr>
        <w:t>For purposes of this Article VII, solely with respect to the Fundamental Representations and the Tax Representations, all qualifications and exceptions relating to materiality, Material Adverse Effect or words of similar import (but not specific dollar thresholds) shall be disregarded for purposes of determining whether a breach or inaccuracy has occurred and for calculating the amount of any Damages in respect thereof. With respect to all other representations and warranties, the qualifications and exceptions relating to materiality, Material Adverse Effect and words of similar import shall be given full force and effect for all purposes of this Article VII.</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 Certain Damages. </w:t>
      </w:r>
      <w:r>
        <w:rPr>
          <w:rFonts w:ascii="Times New Roman;Times;Serif" w:hAnsi="Times New Roman;Times;Serif"/>
          <w:b w:val="false"/>
          <w:i w:val="false"/>
          <w:caps w:val="false"/>
          <w:smallCaps w:val="false"/>
          <w:sz w:val="20"/>
        </w:rPr>
        <w:t>No Indemnified Party shall be entitled to indemnification for any punitive or consequential damages except to the extent such damages are awarded and actually paid to an unaffiliated third party in connection with a third-party claim. No Damages shall be calculated using, and in no event shall any Indemnified Party be entitled to indemnification for any amount determined by reference to, any multiple of earnings, revenue, book value, cash flow or other financial metric, or any diminution-in-value theory, in each case except to the extent such amount is awarded and actually paid to an unaffiliated third party in connection with a third-party claim. Damages shall be determined net of (i) any insurance proceeds actually received by the Indemnified Party in respect of such Damages (less the costs of recovery and any resulting premium increases) and (ii) any Tax benefit actually realized by the Indemnified Party as a result of such Damages; and each Indemnified Party shall use commercially reasonable efforts to mitigate any Damages for which it seeks indemnification.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Caps. </w:t>
      </w:r>
      <w:r>
        <w:rPr>
          <w:rFonts w:ascii="Times New Roman;Times;Serif" w:hAnsi="Times New Roman;Times;Serif"/>
          <w:b w:val="false"/>
          <w:i w:val="false"/>
          <w:caps w:val="false"/>
          <w:smallCaps w:val="false"/>
          <w:sz w:val="20"/>
        </w:rPr>
        <w:t xml:space="preserve">The aggregate indemnification payable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taken together (other than in respect of Fundamental Representations and Tax Representations), shall not exceed five percent (5%) of the value of the Aggregate Stock Consideration (with shares valued at the VWAP as of the Closing Date). The aggregate indemnification payable by any Company Stockholder under this Article VII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of such Company Stockholder’s Pro Rata Share of the Aggregate Stock Consideration. The aggregate indemnification payable by Parent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of the Aggregate Stock Consideration. None of the foregoing caps shall apply to claims based on fraud, willful misconduct or intentional misrepresentation.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Effect of Knowledge.</w:t>
      </w:r>
      <w:r>
        <w:rPr>
          <w:rFonts w:ascii="Times New Roman;Times;Serif" w:hAnsi="Times New Roman;Times;Serif"/>
          <w:b w:val="false"/>
          <w:i w:val="false"/>
          <w:caps w:val="false"/>
          <w:smallCaps w:val="false"/>
          <w:sz w:val="20"/>
        </w:rPr>
        <w:t xml:space="preserve"> Notwithstanding anything to the contrary contained in this Agreement, no Party (or any of its Affiliates) shall have any right to indemnification or any other remedy hereunder with respect to any breach or inaccuracy in any representation or warranty made by another Party in this Agreement (or in any certificate delivered pursuant hereto) to the extent that the Party seeking such indemnification or remedy (or any of its Representatives or Affiliates) had actual knowledge, as of the date of this Agreement or as of the Closing Date, of the facts, circumstances, or conditions giving rise to such breach or inaccuracy. For purposes of this </w:t>
      </w:r>
      <w:r>
        <w:rPr>
          <w:rFonts w:ascii="Times New Roman;Times;Serif" w:hAnsi="Times New Roman;Times;Serif"/>
          <w:b w:val="false"/>
          <w:i w:val="false"/>
          <w:caps w:val="false"/>
          <w:smallCaps w:val="false"/>
          <w:sz w:val="20"/>
          <w:u w:val="single"/>
        </w:rPr>
        <w:t>Section 7.4(f)</w:t>
      </w:r>
      <w:r>
        <w:rPr>
          <w:rFonts w:ascii="Times New Roman;Times;Serif" w:hAnsi="Times New Roman;Times;Serif"/>
          <w:b w:val="false"/>
          <w:i w:val="false"/>
          <w:caps w:val="false"/>
          <w:smallCaps w:val="false"/>
          <w:sz w:val="20"/>
        </w:rPr>
        <w:t>, “actual knowledge” means the conscious awareness of a fact, circumstance, or condition by Philip Sansone, without any duty of inquiry or investigation and without imputation of knowledge of any other Person to such individual.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Duplication; Insurance.</w:t>
      </w:r>
      <w:r>
        <w:rPr>
          <w:rFonts w:ascii="Times New Roman;Times;Serif" w:hAnsi="Times New Roman;Times;Serif"/>
          <w:b w:val="false"/>
          <w:i w:val="false"/>
          <w:caps w:val="false"/>
          <w:smallCaps w:val="false"/>
          <w:sz w:val="20"/>
        </w:rPr>
        <w:t xml:space="preserve"> Damages shall be calculated net of insurance proceeds actually received by the Indemnified Party in respect thereof (less the costs of recovery and any resulting premium increases), and no Indemnified Party shall be entitled to recover the same Damages more than once.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43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Whenever any claim shall arise for indemnification by the Company Stockholders hereunder, the Parent Indemnified Party shall promptly provide written notice of such claim to the Stockholder Representative (it being agreed that no delay in providing such notice shall relieve the Company Stockholders of their indemnification obligations except to the extent they are actually and materially prejudiced thereby). In connection with any claim giving rise to indemnity hereunder resulting from or arising out of any Action by a Person who is not a party to this Agreement, the Stockholder Representative, at the Company Stockholders’ sole cost and expense and upon written notice to the Parent Indemnified Party, may assume the defense of any such Action with counsel reasonably satisfactory to the Parent Indemnified Party; provided that the Stockholder Representative shall not be entitled to assume the defense of any Action (i) seeking injunctive or other equitable relief against the Parent Indemnified Party, (ii) involving any criminal or quasi-criminal allegation, or (iii) in which the reasonably anticipated Damages exceed the aggregate indemnification cap applicable to the Company Stockholders under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The Parent Indemnified Party shall be entitled to participate in the defense of any such Action with its own counsel at its own expense. If the Stockholder Representative does not (or is not entitled to) assume the defense of any such Action, the Parent Indemnified Party may defend against such Action in such manner as it may deem appropriate, including settling such Action after giving notice to the Stockholder Representative, and no such action shall relieve the Company Stockholders of their indemnification obligations with respect to Damages resulting therefrom. The Stockholder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any claim shall arise for indemnification by Parent hereunder, the Stockholder Indemnified Party shall promptly provide written notice of such claim to Parent, and the provisions of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Parent in the role of the Stockholder Representative and the Stockholder Indemnified Party in the role of the Parent Indemnified Party).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xml:space="preserve">. Any payment made (including any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pursuant to the indemnification obligations under this Article VII shall be treated as an adjustment to the Merger Consideration by the Parties for Tax purposes, unless otherwise required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r>
        <w:rPr>
          <w:rFonts w:ascii="Times New Roman;Times;Serif" w:hAnsi="Times New Roman;Times;Serif"/>
          <w:b w:val="false"/>
          <w:i w:val="false"/>
          <w:caps w:val="false"/>
          <w:smallCaps w:val="false"/>
          <w:sz w:val="20"/>
        </w:rPr>
        <w:t xml:space="preserve">. Except with respect to (a) claims based on fraud, willful misconduct or intentional misrepresentation, (b) claims for specific performance or other equitable relief in respect of any covenant or agreement contained herein or in any Ancillary Agreement, and (c) the termination rights and related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Persons claiming by or through any Party (including the Parent Indemnified Parties and the Stockholder Indemnified Parties) related to or arising from any breach of any representation, warranty, covenant or agreement contained in, or otherwise pursuant to, this Agreement, and no Party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hereby may be abandoned at any time prior to the Effective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by written notice to the other, if the Closing shall not have occurred on or before the date that is one hundred eighty (180) days after the Effective Date (as such date may be extended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contained in this Agreement has been a principal cause of, or has resulted in, the failure of the Closing to occur on or before the Outside Date;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by written notice to the other, if any Governmental Authority of competent jurisdiction shall have issued a final, non-appealable Order permanently prohibiting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shall have complied with its obligations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by written notice to the Company, if the Company or any Company Stockholder has breached any representation, warranty, covenant or agreement contained in this Agreement (or any Letter of Transmittal)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the Company’s receipt of written notice of such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have such right if Parent, First Merger Sub or Second Merger Sub is then in material breach of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by written notice to Parent, if Parent, First Merger Sub or Second Merger Sub has breached any representation, warranty, covenant or agreement contained in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Parent’s receipt of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such right if the Company or any Company Stockholder is then in material breach of this Agreement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by written notice to Parent delivered prior to the Outside Date, if the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or the Capital Availability Condition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has not been satisfied, such termination to be subject to, and governed exclusively by, the terms of the Capital Off-Ramp set forth in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including the one-way and cost-free nature of that right;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by written notice to the Company delivered prior to the Outside Date, if Parent’s due diligence investigation of the Company or the final Disclosure Schedules reveal any matter of the kind described in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that is incapable of being cured or remediated to Parent’s reasonable satisfaction by the Outside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any Party or any of their respective directors, officers, employees, partners, members, stockholders or Representatives, except that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(Confidentiality; Public Announcements),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fraud or for a willful and intentional breach of this Agreement occurring prior to such termination. No termination fee, break-up fee, expense-reimbursement fee, or similar payment shall be payable by any Party in connection with any termination of this Agreement.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(or equivalent governing bodies) of the Company and Parent at any time (whether before or after the receipt of the Company Stockholder Approval);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after receipt of the Company Stockholder Approval, no amendment shall be made which by Law requires further approval of the Company Stockholders without such further approval, (ii) any amendment having effect after the Closing that adversely affects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also require the written consent of the Stockholder Representative, and (iii) any amendment on the part of Parent shall be subject to the related-party approval requirements described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to the extent applicable. This Agreement may not be amended except by an instrument in writing signed on behalf of each of the Parties.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provision of this Agreement (including any Exhibit or Schedule) may be waived if, but only if, such waiver is in writing and is signed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No waiver of any provision of this Agreement shall be deemed a waiver of any other provision,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to have been duly given and effective: (a) upon personal delivery to the party to whom such notice is required or permitted to be given; (b) on the second Business Day following the date of dispatch if delivered by a nationally recognized overnight courier service, with written proof of delivery; or (c) upon transmission by email (with confirmation of receipt, and provided no bounce-back or error message is generated). The address for such notices and communications (unless changed by the applicable party by like notice) shall be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First Merger Sub, Second Merger Sub or, after the Closing, the Surviving Corporation or the Surviving Company,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46 of 57</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Project Delivery,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Paul Singarella,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 Representative or, after the Closing, the Company Stockholders,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by a court of competent jurisdiction or arbitrator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 mutually acceptable manner.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(including the Exhibits and Schedules hereto and the Disclosure Schedules), together with the Ancillary Agreements, constitutes the entire agreement among the Parties with respect to the subject matter hereof and supersedes all prior agreements and undertakings, both written and oral, among the Parties with respect to such subject matter, including that certain non-binding Letter of Intent, dated May 12, 2026, between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Party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direct or indirect wholly owned Subsidiary of Parent or, as collateral, to any Person providing financing to Parent or its Affiliates (provided that no such assignment shall relieve Parent of any of its obligations under this Agreement).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and its successors and permitted assigns, and nothing in this Agreement, express or implied, is intended to or shall confer upon any other Person any rights, benefits or remedies of any nature whatsoever under or by reason of this Agreement, except (a)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receive the Merger Consideration, (b) the rights of the Parent Indemnified Parties and the Stockholder Indemnified Parties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(c) the rights of the Persons entitled to indemnification, exculpation, advancement or insurance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and (d) the rights of the Company Stockholders under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matters, claims and causes of action (whether in contract, tort, statute, equity or otherwise) arising out of or relating to this Agreement or the transactions contemplated hereby,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(Dispute Resolution), which provides for the final and binding resolution of Disputes by arbitration seated in Orange County, California, each Party irrevocably submits to the exclusive jurisdiction of the state and federal courts located in Orange County, California, solely for the limited purposes of (a) compelling arbitration, (b) confirming, entering judgment upon, vacating, or enforcing an arbitral award, and (c) seeking interim or provisional relief in aid of arbitration pursuant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in each case arising out of or relating to this Agreement, and irrevocably waives any objection to the laying of venue in any such court and any claim that any such court is an inconvenient forum. Nothing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permits any Party to litigate the merits of any Dispute that is subject to arbitration under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EXTENT ANY CLAIM, DEMAND, ACTION OR CAUSE OF ACTION ARISING UNDER THIS AGREEMENT OR IN ANY WAY CONNECTED WITH OR RELATED OR INCIDENTAL TO THE DEALINGS OF THE PARTIES IN RESPECT OF THIS AGREEMENT OR ANY OF THE TRANSACTIONS RELATED HERETO IS, PURSUANT TO SECTION 9.10, PERMITTED TO BE BROUGHT OR MAINTAINED IN A COURT, EACH PARTY HEREBY IRREVOCABLY WAIVES, TO THE FULLEST EXTENT PERMITTED BY APPLICABLE LAW, ANY AND ALL RIGHT TO TRIAL BY JURY IN ANY SUCH CLAIM, DEMAND, ACTION OR CAUSE OF ACTION, WHETHER NOW EXISTING OR HEREAFTER ARISING, AND WHETHER IN CONTRACT, TORT, EQUITY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set forth in this Agreement (including this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incurring such fees or expenses.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The aggregate amount of Reimbursable Transaction Expenses (excluding legal fees and expenses, which are addressed separately below) that is reimbursable by Parent shall not exceed $100,000 (the “</w:t>
      </w:r>
      <w:r>
        <w:rPr>
          <w:rFonts w:ascii="Times New Roman;Times;Serif" w:hAnsi="Times New Roman;Times;Serif"/>
          <w:b/>
          <w:i/>
          <w:caps w:val="false"/>
          <w:smallCaps w:val="false"/>
          <w:sz w:val="20"/>
        </w:rPr>
        <w:t>Expense Cap</w:t>
      </w:r>
      <w:r>
        <w:rPr>
          <w:rFonts w:ascii="Times New Roman;Times;Serif" w:hAnsi="Times New Roman;Times;Serif"/>
          <w:b w:val="false"/>
          <w:i w:val="false"/>
          <w:caps w:val="false"/>
          <w:smallCaps w:val="false"/>
          <w:sz w:val="20"/>
        </w:rPr>
        <w:t>”), whenever such expenses are incurred. Notwithstanding the foregoing and for the avoidance of doubt, the legal fees and expenses incurred by the Company or the Company Stockholders in connection with this Agreement and the transactions contemplated hereby are excluded from, and shall not count against or be limited by, the Expense Cap, and Parent shall reimburse such legal fees and expenses in full at the Closing in addition to (and without regard to) the Expense Cap. The $100,000 Expense Cap applies to all other Reimbursable Transaction Expenses regardless of when incurred or when the Closing occurs. All Reimbursable Transaction Expenses (including such legal fees and expenses) shall be due and payable at the Closing. All Reimbursable Transaction Expenses are separate and distinct from the consideration payable in the Mergers, (i) no portion of the Merger Consideration is being paid in respect of such expenses, and (ii) such expenses are being paid solely in satisfaction of obligations of the Company or its stockholders independent of the exchange of Shares in the Mergers. The Parties shall treat all such payments consistently for all Tax purposes, including as non-consideration transaction expenses, except as otherwise required by applicable Law. For the avoidance of doubt, the payment of Reimbursable Transaction Expenses shall not increase or decrease the Merger Consideration and shall not be treated as consideration paid in exchange for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Any dispute, controversy, or claim, whether in contract or tort, arising out of or relating to this Agreement, or the enforcement, breach, termination, or validity thereof (a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xml:space="preserve">”), including the determination of the scope or applicability of the agreement to arbitrate, that has not been resolved through good-faith negotiations within thirty (30) days following written notice from one Party to the other(s), shall, at the election of any Party, first be submitted to non-binding mediation administered by a mutually selected mediator in Orange County, California. If the Dispute is not resolved through mediation within an additional sixty (60) days, it shall be finally resolved by binding arbitration seated in Orange County, California, before a single neutral and impartial arbitrator, administered by JAMS pursuant to its Comprehensive Arbitration Rules and Procedures then in effect. The Parties shall endeavor to appoint the arbitrator within fifteen (15) days of a demand for arbitration; failing such appointment, the arbitrator shall be appointed by JAMS in accordance with such rules. The arbitrator shall issue a reasoned written award setting forth findings of fact and conclusions of law, which shall be final and binding and not subject to appeal or collateral attack, and judgment upon the award may be entered in any court of competent jurisdiction. If JAMS no longer exists or is otherwise unavailable, the American Arbitration Association shall administer the arbitration in accordance with its Commercial Arbitration Rules, and references herein to JAMS shall mean the American Arbitration Association. The arbitrator shall have no authority to award punitive or exemplary damages (except to the extent contemplated by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Each Party irrevocably waives any right to commence or maintain any action arising out of or relating to this Agreement in any court, except as permitted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Party acknowledges and agrees that the other Parties would be irreparably damaged in the event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this Agreement were not performed in accordance with its terms, that no adequate remedy at law would exist for any such failure to perform, and that monetary damages would not be a sufficient remedy. Accordingly, each Party shall be entitled to specific performance of the terms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to injunctive or other equitable relief (including from any court of competent jurisdiction in aid of arbitration, as contemplated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to prevent any breach or threatened breach, in each case in addition to any other remedy to which such Party may be entitled hereunder, and without the necessity of posting any bond or other security.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and delivered in two or more counterparts, and by the different Parties in separate counterparts, each of which when executed shall be deemed to be an original but all of which taken together shall constitute one and the same agreement. Signatures transmitted by facsimile, by electronic mail in “portable document format” (.pdf), via DocuSign or an equivalent platform, or by any other electronic means intended to preserve the original graphic and pictorial appearance of a document, shall have the same effect as physical delivery of the paper document bearing the original signature.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Calculation of Time</w:t>
      </w:r>
      <w:r>
        <w:rPr>
          <w:rFonts w:ascii="Times New Roman;Times;Serif" w:hAnsi="Times New Roman;Times;Serif"/>
          <w:b w:val="false"/>
          <w:i w:val="false"/>
          <w:caps w:val="false"/>
          <w:smallCaps w:val="false"/>
          <w:sz w:val="20"/>
        </w:rPr>
        <w:t>. 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shall be the next date which is a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xml:space="preserve">. This Agreement may be enforced only against, and any claim based upon or related to this Agreement may be brought only against, the Persons expressly named as Parties hereto (and, to the extent of their express obligations under the Letters of Transmittal, the Company Stockholders), and then only with respect to the specific obligations set forth herein or therein. No past, present, or future director, officer, employee, member, partner, stockholder, Affiliate, agent, or Representative of any named Party shall have any liability for any obligations of such Party under this Agreement. Notwithstanding the foregoing,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impair, or otherwise affect (a) the obligations of the Company Stockholders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Letters of Transmittal, (b)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(c) the rights of any Person entitled to indemnification, exculpation, or advancement of expenses under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(d) the rights of any Company Stockholder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or (e) the rights of any Person under any Ancillary Agreement, each of which may be enforced in accordance with its terms.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the liability of any Person for fraud or willful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Closing, each Party shall, and shall cause its Affiliates to, execute and deliver such further instruments and documents, and take such further actions, as may be reasonably necessary or appropriate to give effect to the transactions contemplated by this Agreement, including the orderly integration of the Company’s business into the combined enterprise.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xml:space="preserve">” means any inquiry, offer, proposal or indication of interest (other than this Agreement or any inquiry, offer, proposal or indication of interest by Parent), or any public announcement of intention to make any of the foregoing, contemplating, relating to or otherwise involving in any way (a) any acquisition, merger, business combination, recapitalization, equity investment, or similar transaction involving the Company, (b) any sale, lease, exchange, transfer, license, acquisition or disposition of all or any material portion of the assets, business, properties, projects or technologies of the Company (including any Designated Project or any material interest therein), or (c) any joint venture or other strategic investment in or involving the Company (other than ordinary-course project-level arrangements expressly permitted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Governmental Authority or any arbitrator or arbitration panel.</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the First Certificate of Merger, the Second Certificate of Merger, the Employment Agreements, the Investor Rights Agreement, the Letters of Transmittal, and all other agreements, certificates, and instruments required or expressly provided under this Agreement to be executed and delivered by Parent, First Merger Sub, Second Merger Sub, the Company, the Stockholder Representative or any Company Stockholder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or the State of Delaware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Budget</w:t>
      </w:r>
      <w:r>
        <w:rPr>
          <w:rFonts w:ascii="Times New Roman;Times;Serif" w:hAnsi="Times New Roman;Times;Serif"/>
          <w:b w:val="false"/>
          <w:i w:val="false"/>
          <w:caps w:val="false"/>
          <w:smallCaps w:val="false"/>
          <w:sz w:val="20"/>
        </w:rPr>
        <w:t xml:space="preserve">” means the budget for the Surviving Company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as the same may be amended, supplemented, or replaced from time to time following the Closing in accordance with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xml:space="preserve">” means, without duplication, all fees, costs and expenses incurred or to be incurred by or on behalf of the Company in connection with the negotiation, preparation and execution of this Agreement and the consummation of the transactions contemplated hereby, including the fees, costs and expenses of investment bankers, attorneys, accountants and other advisors and service providers, any change-of-control, transaction, retention or similar payments payable by the Company as a result of the transactions contemplated hereby, and any employer-side payroll Taxes attributable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Reimbursable Transaction Expenses reimbursed by Parent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xml:space="preserve"> shall not constitute Company Transaction Expenses for purposes of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any written or oral contract, agreement, arrangement, commitment, understanding, letter of intent, memorandum of understanding, term sheet, license, lease, sublease, indenture, instrument, note, bond, mortgage, deed of trust, purchase order, work order, statement of work, guarantee, indemnity, franchise agreement, joint venture agreement, partnership agreement, or other legally binding obligation of any nature, in each case to which the applicable Person is a party or by which the applicable Person or any of its properties or assets is bound or affected, and including all amendments, modifications, supplements, restatements, and waivers thereto.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Executives</w:t>
      </w:r>
      <w:r>
        <w:rPr>
          <w:rFonts w:ascii="Times New Roman;Times;Serif" w:hAnsi="Times New Roman;Times;Serif"/>
          <w:b w:val="false"/>
          <w:i w:val="false"/>
          <w:caps w:val="false"/>
          <w:smallCaps w:val="false"/>
          <w:sz w:val="20"/>
        </w:rPr>
        <w:t>” means each of Paul Singarella and John Dewey.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penalties, charges, liquidated damages, expenses, assessments, Taxes, interest and penalties, and reasonable accountants’, consultants’, engineers’ and experts’ fees and expenses, including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Damages excludes any attorneys’ fees or arbitration fees or costs incurred in the prosecution or defense of any claim or Dispute against another Party,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to the extent applicable to the Company and relating to data security, cyber security, privacy or security-breach notification: (a) the Company’s own rules, policies and procedures; (b) applicable Laws (including, to the extent applicable, the California Consumer Privacy Act); (c) applicable industry standards by which the Company is contractually bound;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51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has the meaning set forth in the Recitals;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has the meaning set forth in the Recitals.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xml:space="preserve">” means the disclosure schedules delivered by the Company to Parent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where the context requires, the other Schedules to this Agreement delivered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any employee benefit plan (as defined in Section 3(3) of the Employee Retirement Income Security Act of 1974, as amended); (b) any bonus, incentive, equity or equity-based compensation, deferred compensation, retiree medical, life insurance, retirement, health and welfare, severance or similar plan, policy or agreement; and (c) any employment, retention, individual consulting, termination or similar agreement, in each case that is sponsored, maintained, contributed to or required to be contributed to by the Company, or with respect to which the Company has any obligation or liability (contingent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means any applicable Law concerning pollution, contamination, remediation, protection of natural resources or the environment, or protection of human health and safety, including any Law relating to wells, drilling, plugging and abandonment, mineral extraction, geothermal resources, or water quality or supply.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 (or, for periods during which the Company was a limited liability company, the equivalent statements maintained by 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and Qualification; Conversion; Subsidiaries),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(Authority, Approval and Enforceability),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(No Conflict with Organizational Documents),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(Brokers and Finders),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(Affiliate and Parent Related-Party Transactions),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(Title to Shares)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(Investment Representations).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U.S. federal, state, local, or municipal or any foreign government, any governmental, regulatory or administrative authority, agency, division, bureau, instrumentality or commission, any court, tribunal or judicial or arbitral body, or any self-regulatory organization or stock exchange (including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 including petroleum, brines, drilling fluids and naturally occurring radioactive materials.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or any Subsidiary attributable to any Pre-Closing Tax Period (including the portion of any Straddle Period ending on the Closing Date, determined in accordance with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(b) any Taxes of any member of an affiliated, consolidated, combined or unitary group of which the Company (or any predecessor of the Company, including its predecessor limited liability company) is or was a member on or prior to the Closing Date, including pursuant to Treasury Regulations Section 1.1502-6 or any analogous provision of state, local or non-U.S. Law; (c) any Taxes of any Person (other than the Company) imposed on the Company as a transferee or successor, by Contract or otherwise, which Taxes relate to an event or transaction occurring before the Closing; (d) any employer-side payroll Taxes attributable to compensatory payments made in connection with the transactions contemplated hereby; (e) any Taxes arising from or in connection with any breach of or inaccuracy in any Tax Representation; and (f) any Transfer Taxes required to be borne by the Company Stockholders pursuant to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Indemnified Taxes shall not include any Taxes resulting from any action taken by Parent or its Affiliates outside the ordinary course of business on the Closing Date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 Rights Agreement</w:t>
      </w:r>
      <w:r>
        <w:rPr>
          <w:rFonts w:ascii="Times New Roman;Times;Serif" w:hAnsi="Times New Roman;Times;Serif"/>
          <w:b w:val="false"/>
          <w:i w:val="false"/>
          <w:caps w:val="false"/>
          <w:smallCaps w:val="false"/>
          <w:sz w:val="20"/>
        </w:rPr>
        <w:t>” means the Investor Rights Agreement, in substantially the form agreed to by the Parties, providing for registration rights and a customary lock-up applicable to the shares of Parent Class A Common Stock issuable as Aggregate Stock Consideration.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Knowledge” </w:t>
      </w:r>
      <w:r>
        <w:rPr>
          <w:rFonts w:ascii="Times New Roman;Times;Serif" w:hAnsi="Times New Roman;Times;Serif"/>
          <w:b w:val="false"/>
          <w:i w:val="false"/>
          <w:caps w:val="false"/>
          <w:smallCaps w:val="false"/>
          <w:sz w:val="20"/>
        </w:rPr>
        <w:t xml:space="preserve">means (a) with respect to the Company (including the phrase “Knowledge of the Company”), the actual knowledge of each Person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in each case after reasonable inquiry of such Person’s direct reports and of those advisors of the Company who would reasonably be expected to have knowledge of the relevant matter, and (b) with respect to Parent (including the phrase “Knowledge of Parent”), the actual knowledge of Philip Sansone, in each case after reasonable inquiry of such Person’s direct reports.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statute, law (including common law), ordinance, regulation, rule, code, Order, or other legally binding requirement enacted, promulgated, or enforced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required to be accrued on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claim, mortgage, pledge, adverse claim, easement, charge, security interest, encumbrance, option, right of first refusal, restriction on transfer (other than transfer restrictions of general applicability under applicable securities Laws) or other restriction or adverse interest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with respect to the Company or Parent (as applicable), any change, effect, fact, occurrence, circumstance, development or event that, individually or in the aggregate, (a) has had, or would reasonably be expected to have, a material adverse effect on the business, properties, assets, liabilities, results of operations or condition (financial or otherwise) of such Person and its Subsidiaries, taken as a whole, or (b) has prevented or materially delayed, or would reasonably be expected to prevent or materially delay, the consummation by such Person of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clause (a), none of the following, individually or in the aggregate, shall be deemed to constitute, or shall be taken into account in determining whether there has occurred, a Material Adverse Effect: (i) general economic, financial, capital market, regulatory, political or social conditions; (ii) conditions generally affecting the industries in which such Person operates; (iii) changes in GAAP or applicable Law or the interpretation thereof; (iv) acts of war, armed hostilities, sabotage, terrorism, epidemics, pandemics, natural disasters or acts of God; (v) any failure by such Person to meet any internal or external projections, forecasts, budgets or estimates (provided that the underlying causes thereof may be considered); or (vi) the announcement, pendency or consummation of the transactions contemplated hereby; except, in the case of clauses (i) through (iv), to the extent such matter has a disproportionate impact on such Person relative to other participants in the industries in which such Person operates.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consent order, ruling, verdict or similar enforcement order entered, issued, made or rendered by any Governmental Authority of competent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or organization, certificate of conversion, bylaws, limited liability company agreement, operating agreement, stockholders agreement, voting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Class A Common Stock</w:t>
      </w:r>
      <w:r>
        <w:rPr>
          <w:rFonts w:ascii="Times New Roman;Times;Serif" w:hAnsi="Times New Roman;Times;Serif"/>
          <w:b w:val="false"/>
          <w:i w:val="false"/>
          <w:caps w:val="false"/>
          <w:smallCaps w:val="false"/>
          <w:sz w:val="20"/>
        </w:rPr>
        <w:t>” means the Class A Common Stock, par value $0.00001 per share, of Parent; “</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collectively, the Parent Class A Common Stock and the Class B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Disclosure Schedule</w:t>
      </w:r>
      <w:r>
        <w:rPr>
          <w:rFonts w:ascii="Times New Roman;Times;Serif" w:hAnsi="Times New Roman;Times;Serif"/>
          <w:b w:val="false"/>
          <w:i w:val="false"/>
          <w:caps w:val="false"/>
          <w:smallCaps w:val="false"/>
          <w:sz w:val="20"/>
        </w:rPr>
        <w:t xml:space="preserve">” means the disclosure schedule delivered by Parent to the Company concurrently with the execution of this Agreement,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and which is incorporated by reference into, and constitutes an integral part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First Merger Sub, Second Merger Sub and their respective Subsidiaries and Affiliates (including the Surviving Corporation and the Surviving Company) and each of their respective officers, directors, managers, employees,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orders, operating authorities, franchises, easements, applications, filings, registrations and other authorizations under any Law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due and payable or that are being contested in good faith by appropriate proceedings and for which adequate reserves have been established; (b) mechanics’, materialmen’s, carriers’, workers’, repairers’ and similar Liens arising in the ordinary course of business and not yet due and payable; (c) pledges or deposits made in the ordinary course of business to secure obligations under workers’ compensation, unemployment insurance or similar programs; (d) with respect to real property and mineral or water interests, zoning, entitlement, building and other land-use regulations, and royalties, reservations and similar burdens of record that do not materially impair the value or continued use of the affected assets;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partnership, limited partnership, limited liability company, corporation, association, trust, joint venture, unincorporated organization, Governmental Authority, or other entity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Dilution Stack</w:t>
      </w:r>
      <w:r>
        <w:rPr>
          <w:rFonts w:ascii="Times New Roman;Times;Serif" w:hAnsi="Times New Roman;Times;Serif"/>
          <w:b w:val="false"/>
          <w:i w:val="false"/>
          <w:caps w:val="false"/>
          <w:smallCaps w:val="false"/>
          <w:sz w:val="20"/>
        </w:rPr>
        <w:t>” means, as of any reference date, the sum of Parent’s basic outstanding Common Stock calculated on a non-diluted basis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54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xml:space="preserve">” means, with respect to each Company Stockholder, the percentage set forth opposite such Company Stockholder’s name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(Allocation Schedule), as the same may be updated by the Company in good faith prior to the Closing Date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know-how, technical information, deal-sourcing methodologies, project-development frameworks, pro forma models, form templates, and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Reimbursable Transaction Expenses</w:t>
      </w:r>
      <w:r>
        <w:rPr>
          <w:rFonts w:ascii="Times New Roman;Times;Serif" w:hAnsi="Times New Roman;Times;Serif"/>
          <w:b w:val="false"/>
          <w:i w:val="false"/>
          <w:caps w:val="false"/>
          <w:smallCaps w:val="false"/>
          <w:sz w:val="20"/>
        </w:rPr>
        <w:t xml:space="preserve">” means all reasonable and documented out-of-pocket fees and expenses incurred by the Company or its founding stockholders, Paul Singarella and John Dewey (in their capacity as such), in connection with the negotiation, preparation, execution, and consummation of this Agreement and the transactions contemplated hereby, including: (a) legal, accounting, and financial advisory fees; (b) filing fees and similar administrative costs; (c) reasonable travel and lodging expenses incurred in connection with relevant meetings and diligence; and (d) other customary transaction-related expenses;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Reimbursable Transaction Expenses shall not include: (i) any amounts payable as compensation for services (including bonuses, retention payments, or change-in-control payments); (ii) any amounts contingent upon or determined by reference to the consideration payable in the Mergers; (iii) any expenses not supported by reasonable documentation; (iv) any liabilities or obligations unrelated to the transactions contemplated hereby; or (v) any amounts in excess of the Expense Cap.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or exchangeable security, subscription right, call right, put right, right of first refusal, right of first offer, conversion right, profits interest, phantom equity, equity appreciation right or other right requiring, or convertible into or exchangeable for, the issuance of Equity Interests of the applicable Person, whether vested or unvested, and whether conferred by Law, Organizational Document or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Stockholder Indemnified Party</w:t>
      </w:r>
      <w:r>
        <w:rPr>
          <w:rFonts w:ascii="Times New Roman;Times;Serif" w:hAnsi="Times New Roman;Times;Serif"/>
          <w:b w:val="false"/>
          <w:i w:val="false"/>
          <w:caps w:val="false"/>
          <w:smallCaps w:val="false"/>
          <w:sz w:val="20"/>
        </w:rPr>
        <w:t>” means the Stockholder Representative, any of the Company Stockholders, and their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of which (a) more than fifty percent (50%) of the voting securities or other voting equity interests are owned, directly or indirectly, by such first Person, or (b) such first Person or any Subsidiary of such first Person is a general partner or managing member.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all federal, state, local, and foreign taxes, assessments, duties, levies, imposts, and other governmental charges of any kind or in the nature of taxes, including any income, gross receipts, license, payroll, employment, unclaimed property or escheat, excise, severance, stamp, occupation, premium, windfall profits, environmental, customs duties, capital stock, franchise, profits, withholding, social security, unemployment, disability, real property, personal property, sales, use, transfer, registration, value added, alternative or add-on minimum, or estimated tax, including any interest, penalties, and additions thereto, whether or not disputed; (b) any liability for the payment of any amounts of the type described in clause (a) arising as a result of being (or having been) a member of any affiliated, combined, consolidated, or unitary group; and (c) any liability for the payment of any amounts of the type described in clauses (a) or (b)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Law</w:t>
      </w:r>
      <w:r>
        <w:rPr>
          <w:rFonts w:ascii="Times New Roman;Times;Serif" w:hAnsi="Times New Roman;Times;Serif"/>
          <w:b w:val="false"/>
          <w:i w:val="false"/>
          <w:caps w:val="false"/>
          <w:smallCaps w:val="false"/>
          <w:sz w:val="20"/>
        </w:rPr>
        <w:t>” means any Law relating to Taxes, including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Opinion</w:t>
      </w:r>
      <w:r>
        <w:rPr>
          <w:rFonts w:ascii="Times New Roman;Times;Serif" w:hAnsi="Times New Roman;Times;Serif"/>
          <w:b w:val="false"/>
          <w:i w:val="false"/>
          <w:caps w:val="false"/>
          <w:smallCaps w:val="false"/>
          <w:sz w:val="20"/>
        </w:rPr>
        <w:t>” means an opinion of counsel to Parent or the Company, as applicable, in form and substance reasonably satisfactory to the receiving Party, to the effect that the Mergers, taken together, should qualify as a reorganization within the meaning of Section 368(a)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(Tax Matters) and, to the extent relating to Taxes,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xml:space="preserve"> (Employees; Consultants;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Class A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issued by the U.S. Department of the Treasury under the Code, as in force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as of any date, the volume-weighted average price per share of Parent Class A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capitalized terms are defined elsewhere in this Agreement and have the meanings ascribed to them where they appear, including: “368 Transaction” (Recitals); “Agreement” (Preamble); “Allocation Schedule”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“Capital Availability Condition” and “Capital Off-Ramp”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“Closing” and “Closing Date”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“Company,” “Parent,” “First Merger Sub,” “Second Merger Sub” and “Stockholder Representative” (Preamble); “Company Board” (Recitals); “Company Financial Statements”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“Company Intellectual Property”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“Company Stockholder Approval”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“Company Stockholders” (Recitals); “Designated Projects” and “SPD Pipeline”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“Dispute”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“Dissenting Shares”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“Effective Date” (Preamble); “Effective Time” and “Second Effective Time”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“Employment Agreements”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“Excluded Activities”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“Expense Cap”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“First Certificate of Merger” and “Second Certificate of Merger”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“First Merger,” “Second Merger” and “Mergers” (Recitals); “Surviving Corporation” and “Surviving Company” (Recitals); “General Expiration Date”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“Interim Period”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“Letter of Transmittal”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“Material Contracts”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“Merger Consideration”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“MWS”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“Outside Date”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“Parent Audit Committee” and “Parent Board” (Recitals); “Parent Fundamental Representations”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“Parent Name Change”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“Parent Solvency Certificate”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“Parties” and “Party” (Preamble); “SEC Reports”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“Threshold Amount”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and “Unknown Claims”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General Interpretation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references to Articles, Sections, Exhibits and Schedules are to Articles and Sections of, and Exhibits and Schedules to, this Agreement; (ii) the table of contents and headings are for reference purposes only and do not affect the meaning or interpretation of this Agreement; (iii) the words “include,” “includes” and “including” are deemed to be followed by the words “without limitation”; (iv) the words “hereof,” “herein” and “hereunder” refer to this Agreement as a whole; (v) the word “will” has the same meaning and effect as the word “shall”; (vi) references to days mean calendar days unless Business Days are specified; (vii) references to any statute, rule or regulation are to the statute, rule or regulation as amended, modified, supplemented or replaced from time to time, and include any rules and regulations promulgated thereunder and any successor provisions; (viii) references to any agreement or instrument are to the agreement or instrument as from time to time amended, modified, supplemented or replaced; (ix) all terms defined in this Agreement have the defined meanings when used in any certificate or other document made or delivered pursuant hereto, unless otherwise defined therein; (x) the use of “furnished to Parent” or “made available to Parent” or similar phrases means that the subject documents were delivered to Parent or its Representatives or posted to, and freely accessible by Parent and its Representatives in, the virtual data room maintained by or on behalf of the Company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phrase “ordinary course of business” means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Matters reflected in the Disclosure Schedules are not necessarily limited to matters required by this Agreement to be reflected therein; any such additional matters are included for informational purposes and do not necessarily include other matters of a similar nature. Headings in the Disclosure Schedules are for convenience of reference only. Disclosure of any information, fact or item in any Section of the Disclosure Schedules shall be deemed to have been disclosed with respect to every other Section of this Agreement and the Disclosure Schedules to the extent it is reasonably apparent from the face of such disclosure that such disclosure would apply to such other Sections. Nothing in the Disclosure Schedules is intended to broaden the scope of any representation or warranty. The mere inclusion of any item in the Disclosure Schedules shall not be deemed an admission that such item is material, and neither the specification of any dollar amount nor the inclusion of any specific item is intended to imply that such amount, or higher or lower amounts, or the item so included or other items, are or are not material or within or outside the ordinary course of business. In the event of any conflict or inconsistency between any provision of this Agreement and any Schedule or Exhibit, the provisions of this Agreement shall control;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inclusion of an item in a Disclosure Schedule shall not be deemed a conflict or inconsistency for this purpose.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pages follow.</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57 of 57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952"/>
        <w:gridCol w:w="3312"/>
        <w:gridCol w:w="75"/>
      </w:tblGrid>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XIV,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XV, LLC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Mobix Labs, Inc., its sole member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PROJECT DELIVERY,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REPRESENTATIVE: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his capacity as Stockholder Representative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Mobix/SPD Agreement and Plan of Merger</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INDEX OF SCHEDULES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 Budget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 Parent Disclosure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 Company’s Knowledge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 Allocation Schedule</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Disclosure Schedules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(to be delivered pursuant to </w:t>
      </w:r>
      <w:r>
        <w:rPr>
          <w:rFonts w:ascii="Times New Roman;Times;Serif" w:hAnsi="Times New Roman;Times;Serif"/>
          <w:b w:val="false"/>
          <w:i/>
          <w:caps w:val="false"/>
          <w:smallCaps w:val="false"/>
          <w:sz w:val="20"/>
          <w:u w:val="single"/>
        </w:rPr>
        <w:t>Section 5.13</w:t>
      </w:r>
      <w:r>
        <w:rPr>
          <w:rFonts w:ascii="Times New Roman;Times;Serif" w:hAnsi="Times New Roman;Times;Serif"/>
          <w:b w:val="false"/>
          <w:i/>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 Subsidiary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 Capitalization; Security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 Required Consents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 Financial Statements; Basis of Preparation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 Real Property; Mineral and Water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 Compliance Exceptions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 Permits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xml:space="preserve"> —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 Material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 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 Environmental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 Tax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 Tax Classification;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 Special Advisors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 Insurance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 Project Portfolio Status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 Subsidiaries and Membership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 Government Programs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 Brokers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 Affiliate and Parent Related-Party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 Expressly Permitted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 xml:space="preserve"> — Excluded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 Related-Party Arrangements To Be Terminated, Amended or Ratified at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 Indemnification Matters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3" w:name="jz_003"/>
      <w:bookmarkEnd w:id="23"/>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 Sansone,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4" w:name="jz_004"/>
      <w:bookmarkEnd w:id="24"/>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Keyvan Samini,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5" w:name="jz_005"/>
      <w:bookmarkEnd w:id="25"/>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jc w:val="both"/>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6" w:name="jz_006"/>
      <w:bookmarkEnd w:id="26"/>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ind w:left="0" w:right="0" w:firstLine="269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467/000149315226024661/ex4-2.htm" TargetMode="External"/><Relationship Id="rId4" Type="http://schemas.openxmlformats.org/officeDocument/2006/relationships/hyperlink" Target="https://www.sec.gov/Archives/edgar/data/1855467/000149315226024661/ex4-3.htm" TargetMode="External"/><Relationship Id="rId5" Type="http://schemas.openxmlformats.org/officeDocument/2006/relationships/hyperlink" Target="https://www.sec.gov/Archives/edgar/data/1855467/000149315226029436/ex4-20.htm" TargetMode="External"/><Relationship Id="rId6" Type="http://schemas.openxmlformats.org/officeDocument/2006/relationships/hyperlink" Target="https://www.sec.gov/Archives/edgar/data/1855467/000149315226030338/ex4-1.htm" TargetMode="External"/><Relationship Id="rId7" Type="http://schemas.openxmlformats.org/officeDocument/2006/relationships/hyperlink" Target="https://www.sec.gov/Archives/edgar/data/1855467/000149315226019180/ex10-58.htm" TargetMode="External"/><Relationship Id="rId8" Type="http://schemas.openxmlformats.org/officeDocument/2006/relationships/hyperlink" Target="https://www.sec.gov/Archives/edgar/data/1855467/000149315226024661/ex10-3.htm" TargetMode="External"/><Relationship Id="rId9" Type="http://schemas.openxmlformats.org/officeDocument/2006/relationships/hyperlink" Target="https://www.sec.gov/Archives/edgar/data/1855467/000149315226024661/ex10-4.htm" TargetMode="External"/><Relationship Id="rId10" Type="http://schemas.openxmlformats.org/officeDocument/2006/relationships/hyperlink" Target="https://www.sec.gov/Archives/edgar/data/1855467/000149315226024661/ex10-5.htm" TargetMode="External"/><Relationship Id="rId11" Type="http://schemas.openxmlformats.org/officeDocument/2006/relationships/hyperlink" Target="https://www.sec.gov/Archives/edgar/data/1855467/000149315226030338/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108206</Words>
  <Characters>586757</Characters>
  <CharactersWithSpaces>698567</CharactersWithSpaces>
  <Paragraphs>13989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